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1CDD54" w14:textId="77777777" w:rsidR="00EC4818" w:rsidRDefault="00EC4818" w:rsidP="00A67817">
      <w:pPr>
        <w:jc w:val="both"/>
        <w:rPr>
          <w:rFonts w:ascii="Times New Roman" w:hAnsi="Times New Roman"/>
          <w:lang w:eastAsia="es-CO"/>
        </w:rPr>
      </w:pPr>
    </w:p>
    <w:p w14:paraId="63A04E60" w14:textId="77777777" w:rsidR="00EC4818" w:rsidRDefault="00EC4818" w:rsidP="00A67817">
      <w:pPr>
        <w:jc w:val="both"/>
        <w:rPr>
          <w:rFonts w:ascii="Times New Roman" w:hAnsi="Times New Roman"/>
          <w:lang w:eastAsia="es-CO"/>
        </w:rPr>
      </w:pPr>
    </w:p>
    <w:tbl>
      <w:tblPr>
        <w:tblpPr w:leftFromText="141" w:rightFromText="141" w:vertAnchor="text" w:tblpX="-15" w:tblpY="1"/>
        <w:tblOverlap w:val="never"/>
        <w:tblW w:w="18601" w:type="dxa"/>
        <w:tblLayout w:type="fixed"/>
        <w:tblCellMar>
          <w:left w:w="70" w:type="dxa"/>
          <w:right w:w="70" w:type="dxa"/>
        </w:tblCellMar>
        <w:tblLook w:val="04A0" w:firstRow="1" w:lastRow="0" w:firstColumn="1" w:lastColumn="0" w:noHBand="0" w:noVBand="1"/>
      </w:tblPr>
      <w:tblGrid>
        <w:gridCol w:w="999"/>
        <w:gridCol w:w="1978"/>
        <w:gridCol w:w="285"/>
        <w:gridCol w:w="1099"/>
        <w:gridCol w:w="891"/>
        <w:gridCol w:w="8781"/>
        <w:gridCol w:w="892"/>
        <w:gridCol w:w="1376"/>
        <w:gridCol w:w="888"/>
        <w:gridCol w:w="524"/>
        <w:gridCol w:w="888"/>
      </w:tblGrid>
      <w:tr w:rsidR="00EC4818" w:rsidRPr="00EC4818" w14:paraId="3B8CD2CA" w14:textId="77777777" w:rsidTr="008934D8">
        <w:trPr>
          <w:gridAfter w:val="1"/>
          <w:wAfter w:w="888" w:type="dxa"/>
          <w:trHeight w:val="833"/>
        </w:trPr>
        <w:tc>
          <w:tcPr>
            <w:tcW w:w="999" w:type="dxa"/>
            <w:tcBorders>
              <w:top w:val="single" w:sz="12" w:space="0" w:color="auto"/>
              <w:left w:val="single" w:sz="12" w:space="0" w:color="auto"/>
              <w:bottom w:val="single" w:sz="12" w:space="0" w:color="auto"/>
              <w:right w:val="single" w:sz="12" w:space="0" w:color="auto"/>
            </w:tcBorders>
            <w:shd w:val="clear" w:color="auto" w:fill="auto"/>
            <w:vAlign w:val="center"/>
            <w:hideMark/>
          </w:tcPr>
          <w:p w14:paraId="279BAF77"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Numeral</w:t>
            </w:r>
          </w:p>
        </w:tc>
        <w:tc>
          <w:tcPr>
            <w:tcW w:w="1978" w:type="dxa"/>
            <w:tcBorders>
              <w:top w:val="single" w:sz="12" w:space="0" w:color="auto"/>
              <w:left w:val="nil"/>
              <w:bottom w:val="single" w:sz="12" w:space="0" w:color="auto"/>
              <w:right w:val="single" w:sz="12" w:space="0" w:color="auto"/>
            </w:tcBorders>
            <w:shd w:val="clear" w:color="auto" w:fill="auto"/>
            <w:vAlign w:val="center"/>
            <w:hideMark/>
          </w:tcPr>
          <w:p w14:paraId="1AA7278C"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Orden Judicial</w:t>
            </w:r>
          </w:p>
        </w:tc>
        <w:tc>
          <w:tcPr>
            <w:tcW w:w="1384" w:type="dxa"/>
            <w:gridSpan w:val="2"/>
            <w:tcBorders>
              <w:top w:val="single" w:sz="12" w:space="0" w:color="auto"/>
              <w:left w:val="nil"/>
              <w:bottom w:val="single" w:sz="12" w:space="0" w:color="auto"/>
              <w:right w:val="single" w:sz="12" w:space="0" w:color="auto"/>
            </w:tcBorders>
            <w:shd w:val="clear" w:color="auto" w:fill="auto"/>
            <w:vAlign w:val="center"/>
            <w:hideMark/>
          </w:tcPr>
          <w:p w14:paraId="19A4EBFF"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Entidad(es) Responsables</w:t>
            </w:r>
          </w:p>
        </w:tc>
        <w:tc>
          <w:tcPr>
            <w:tcW w:w="9672" w:type="dxa"/>
            <w:gridSpan w:val="2"/>
            <w:tcBorders>
              <w:top w:val="single" w:sz="12" w:space="0" w:color="auto"/>
              <w:left w:val="nil"/>
              <w:bottom w:val="single" w:sz="12" w:space="0" w:color="auto"/>
              <w:right w:val="single" w:sz="12" w:space="0" w:color="auto"/>
            </w:tcBorders>
            <w:shd w:val="clear" w:color="auto" w:fill="auto"/>
            <w:vAlign w:val="center"/>
            <w:hideMark/>
          </w:tcPr>
          <w:p w14:paraId="66FE49B6"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Acciones Realizadas</w:t>
            </w:r>
          </w:p>
        </w:tc>
        <w:tc>
          <w:tcPr>
            <w:tcW w:w="2268" w:type="dxa"/>
            <w:gridSpan w:val="2"/>
            <w:tcBorders>
              <w:top w:val="single" w:sz="12" w:space="0" w:color="auto"/>
              <w:left w:val="nil"/>
              <w:bottom w:val="single" w:sz="12" w:space="0" w:color="auto"/>
              <w:right w:val="single" w:sz="12" w:space="0" w:color="auto"/>
            </w:tcBorders>
            <w:shd w:val="clear" w:color="auto" w:fill="auto"/>
            <w:vAlign w:val="center"/>
            <w:hideMark/>
          </w:tcPr>
          <w:p w14:paraId="445EAE2C"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Presupuesto (pesos)</w:t>
            </w:r>
          </w:p>
        </w:tc>
        <w:tc>
          <w:tcPr>
            <w:tcW w:w="1412" w:type="dxa"/>
            <w:gridSpan w:val="2"/>
            <w:tcBorders>
              <w:top w:val="single" w:sz="12" w:space="0" w:color="auto"/>
              <w:left w:val="nil"/>
              <w:bottom w:val="single" w:sz="12" w:space="0" w:color="auto"/>
              <w:right w:val="single" w:sz="12" w:space="0" w:color="auto"/>
            </w:tcBorders>
            <w:shd w:val="clear" w:color="auto" w:fill="auto"/>
            <w:vAlign w:val="center"/>
            <w:hideMark/>
          </w:tcPr>
          <w:p w14:paraId="7F4CACC4" w14:textId="77777777" w:rsidR="00EC4818" w:rsidRPr="00EC4818" w:rsidRDefault="00EC4818" w:rsidP="008934D8">
            <w:pPr>
              <w:jc w:val="center"/>
              <w:rPr>
                <w:rFonts w:ascii="Arial" w:eastAsia="Times New Roman" w:hAnsi="Arial" w:cs="Arial"/>
                <w:b/>
                <w:color w:val="000000"/>
                <w:sz w:val="18"/>
                <w:szCs w:val="18"/>
                <w:lang w:val="es-CO" w:eastAsia="es-CO"/>
              </w:rPr>
            </w:pPr>
            <w:r w:rsidRPr="00EC4818">
              <w:rPr>
                <w:rFonts w:ascii="Arial" w:eastAsia="Times New Roman" w:hAnsi="Arial" w:cs="Arial"/>
                <w:b/>
                <w:color w:val="000000"/>
                <w:sz w:val="18"/>
                <w:szCs w:val="18"/>
                <w:lang w:val="es-CO" w:eastAsia="es-CO"/>
              </w:rPr>
              <w:t>% de cumplimiento de la Orden Judicial</w:t>
            </w:r>
          </w:p>
        </w:tc>
      </w:tr>
      <w:tr w:rsidR="00EC4818" w:rsidRPr="00EC4818" w14:paraId="582896EE" w14:textId="77777777" w:rsidTr="008934D8">
        <w:trPr>
          <w:gridAfter w:val="1"/>
          <w:wAfter w:w="888" w:type="dxa"/>
          <w:trHeight w:val="8192"/>
        </w:trPr>
        <w:tc>
          <w:tcPr>
            <w:tcW w:w="999" w:type="dxa"/>
            <w:tcBorders>
              <w:top w:val="nil"/>
              <w:left w:val="single" w:sz="12" w:space="0" w:color="auto"/>
              <w:bottom w:val="single" w:sz="12" w:space="0" w:color="auto"/>
              <w:right w:val="single" w:sz="12" w:space="0" w:color="auto"/>
            </w:tcBorders>
            <w:shd w:val="clear" w:color="auto" w:fill="auto"/>
            <w:hideMark/>
          </w:tcPr>
          <w:p w14:paraId="247F6554"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lastRenderedPageBreak/>
              <w:t>4.18 de la sentencia del Consejo de Estado de 28 de marzo de 2014.</w:t>
            </w:r>
          </w:p>
        </w:tc>
        <w:tc>
          <w:tcPr>
            <w:tcW w:w="1978" w:type="dxa"/>
            <w:tcBorders>
              <w:top w:val="nil"/>
              <w:left w:val="nil"/>
              <w:bottom w:val="single" w:sz="12" w:space="0" w:color="auto"/>
              <w:right w:val="single" w:sz="12" w:space="0" w:color="auto"/>
            </w:tcBorders>
            <w:shd w:val="clear" w:color="auto" w:fill="auto"/>
            <w:hideMark/>
          </w:tcPr>
          <w:p w14:paraId="465F081B"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t xml:space="preserve">ORDÉNASE al Distrito Capital y a los demás entes territoriales aferentes a la cuenca hidrográfica del Río Bogotá que en el término perentorio e improrrogable de doce (12) meses contados a partir de la aprobación y declaración de la modificación y actualización del Plan de Ordenación y Manejo de la Cuenca Hidrográfica del Río Bogotá – POMCA por parte de la Corporación Autónoma  Regional  de Cundinamarca – CAR,  modifiquen  y  actualicen los Planes de Ordenamiento Territorial – POT, Planes Básicos de Ordenamiento Territorial - PBOT y Esquemas de Ordenamiento Territorial – EOT ajustándolos con los contenidos del mismo. </w:t>
            </w:r>
            <w:r w:rsidRPr="00EC4818">
              <w:rPr>
                <w:rFonts w:ascii="Arial" w:eastAsia="Times New Roman" w:hAnsi="Arial" w:cs="Arial"/>
                <w:color w:val="000000"/>
                <w:sz w:val="16"/>
                <w:szCs w:val="16"/>
                <w:lang w:val="es-CO" w:eastAsia="es-CO"/>
              </w:rPr>
              <w:br/>
            </w:r>
            <w:r w:rsidRPr="00EC4818">
              <w:rPr>
                <w:rFonts w:ascii="Arial" w:eastAsia="Times New Roman" w:hAnsi="Arial" w:cs="Arial"/>
                <w:color w:val="000000"/>
                <w:sz w:val="16"/>
                <w:szCs w:val="16"/>
                <w:lang w:val="es-CO" w:eastAsia="es-CO"/>
              </w:rPr>
              <w:br/>
              <w:t xml:space="preserve">Adicionalmente, ORDÉNASE al Distrito Capital y a los demás entes territoriales aferentes al Río Bogotá, que, en el actual proceso de modificación de los POTs, PBOT y EOT y de acuerdo con los términos que el ordenamiento jurídico ha establecido, incluyan </w:t>
            </w:r>
            <w:r w:rsidRPr="00EC4818">
              <w:rPr>
                <w:rFonts w:ascii="Arial" w:eastAsia="Times New Roman" w:hAnsi="Arial" w:cs="Arial"/>
                <w:color w:val="000000"/>
                <w:sz w:val="16"/>
                <w:szCs w:val="16"/>
                <w:lang w:val="es-CO" w:eastAsia="es-CO"/>
              </w:rPr>
              <w:lastRenderedPageBreak/>
              <w:t>en los mismos las variables ambientales, de cambio climático y la gestión de riesgos asociados a éstos.</w:t>
            </w:r>
          </w:p>
        </w:tc>
        <w:tc>
          <w:tcPr>
            <w:tcW w:w="1384" w:type="dxa"/>
            <w:gridSpan w:val="2"/>
            <w:tcBorders>
              <w:top w:val="nil"/>
              <w:left w:val="nil"/>
              <w:bottom w:val="single" w:sz="12" w:space="0" w:color="auto"/>
              <w:right w:val="single" w:sz="12" w:space="0" w:color="auto"/>
            </w:tcBorders>
            <w:shd w:val="clear" w:color="auto" w:fill="auto"/>
            <w:hideMark/>
          </w:tcPr>
          <w:p w14:paraId="46C6BD50"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lastRenderedPageBreak/>
              <w:t>Secretaría Distrital de</w:t>
            </w:r>
            <w:r w:rsidRPr="00EC4818">
              <w:rPr>
                <w:rFonts w:ascii="Arial" w:eastAsia="Times New Roman" w:hAnsi="Arial" w:cs="Arial"/>
                <w:color w:val="000000"/>
                <w:sz w:val="16"/>
                <w:szCs w:val="16"/>
                <w:lang w:val="es-CO" w:eastAsia="es-CO"/>
              </w:rPr>
              <w:br/>
              <w:t>Planeación, Secretaría</w:t>
            </w:r>
            <w:r w:rsidRPr="00EC4818">
              <w:rPr>
                <w:rFonts w:ascii="Arial" w:eastAsia="Times New Roman" w:hAnsi="Arial" w:cs="Arial"/>
                <w:color w:val="000000"/>
                <w:sz w:val="16"/>
                <w:szCs w:val="16"/>
                <w:lang w:val="es-CO" w:eastAsia="es-CO"/>
              </w:rPr>
              <w:br/>
              <w:t>Distrital de Ambiente, Instituto Distrital para la Gestión del Riesgo -IDIGER.</w:t>
            </w:r>
          </w:p>
        </w:tc>
        <w:tc>
          <w:tcPr>
            <w:tcW w:w="9672" w:type="dxa"/>
            <w:gridSpan w:val="2"/>
            <w:tcBorders>
              <w:top w:val="nil"/>
              <w:left w:val="nil"/>
              <w:bottom w:val="single" w:sz="12" w:space="0" w:color="auto"/>
              <w:right w:val="single" w:sz="12" w:space="0" w:color="auto"/>
            </w:tcBorders>
            <w:shd w:val="clear" w:color="auto" w:fill="auto"/>
            <w:noWrap/>
            <w:hideMark/>
          </w:tcPr>
          <w:p w14:paraId="628C70D6" w14:textId="7F171F4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Sobre las actividades</w:t>
            </w:r>
            <w:r w:rsidR="00B11233">
              <w:rPr>
                <w:rFonts w:ascii="Arial" w:eastAsia="Arial" w:hAnsi="Arial" w:cs="Arial"/>
                <w:sz w:val="16"/>
                <w:szCs w:val="16"/>
              </w:rPr>
              <w:t xml:space="preserve"> para </w:t>
            </w:r>
            <w:r>
              <w:rPr>
                <w:rFonts w:ascii="Arial" w:eastAsia="Arial" w:hAnsi="Arial" w:cs="Arial"/>
                <w:sz w:val="16"/>
                <w:szCs w:val="16"/>
              </w:rPr>
              <w:t>dar cumplimiento al numeral 4.18 de la sentencia, se informa que la revisión general del POT de Bogotá fue expedida, siguiendo el cronograma general establecido, el día 29 de diciembre de 2021 a través del Decreto Distrital 555 de 2021 “</w:t>
            </w:r>
            <w:r>
              <w:rPr>
                <w:rFonts w:ascii="Arial" w:eastAsia="Arial" w:hAnsi="Arial" w:cs="Arial"/>
                <w:i/>
                <w:sz w:val="16"/>
                <w:szCs w:val="16"/>
              </w:rPr>
              <w:t xml:space="preserve">Por el cual se adopta la revisión general del Plan de Ordenamiento Territorial de Bogotá D.C.”, </w:t>
            </w:r>
            <w:r>
              <w:rPr>
                <w:rFonts w:ascii="Arial" w:eastAsia="Arial" w:hAnsi="Arial" w:cs="Arial"/>
                <w:sz w:val="16"/>
                <w:szCs w:val="16"/>
              </w:rPr>
              <w:t>conforme a lo dispuesto en los artículos 25 de la Ley 388 de 1997 y 12 de la Ley 810 de 2003.</w:t>
            </w:r>
          </w:p>
          <w:p w14:paraId="56B9FC55" w14:textId="1735729B" w:rsidR="00B11233" w:rsidRDefault="00B11233" w:rsidP="008934D8">
            <w:pPr>
              <w:tabs>
                <w:tab w:val="left" w:pos="650"/>
              </w:tabs>
              <w:ind w:left="57" w:right="57" w:hanging="2"/>
              <w:jc w:val="both"/>
              <w:rPr>
                <w:rFonts w:ascii="Arial" w:eastAsia="Arial" w:hAnsi="Arial" w:cs="Arial"/>
                <w:sz w:val="16"/>
                <w:szCs w:val="16"/>
              </w:rPr>
            </w:pPr>
          </w:p>
          <w:p w14:paraId="787A70BB" w14:textId="32B8B4DA" w:rsidR="00B11233" w:rsidRDefault="00B11233" w:rsidP="008934D8">
            <w:pPr>
              <w:tabs>
                <w:tab w:val="left" w:pos="650"/>
              </w:tabs>
              <w:ind w:left="57" w:right="57" w:hanging="2"/>
              <w:jc w:val="both"/>
              <w:rPr>
                <w:rFonts w:ascii="Arial" w:eastAsia="Arial" w:hAnsi="Arial" w:cs="Arial"/>
                <w:sz w:val="16"/>
                <w:szCs w:val="16"/>
              </w:rPr>
            </w:pPr>
            <w:r>
              <w:rPr>
                <w:rFonts w:ascii="Arial" w:eastAsia="Arial" w:hAnsi="Arial" w:cs="Arial"/>
                <w:bCs/>
                <w:iCs/>
                <w:sz w:val="16"/>
                <w:szCs w:val="16"/>
                <w:lang w:val="es-ES"/>
              </w:rPr>
              <w:t>Es del caso aclarar que el procedimiento administrativo para la revisión del POT de Bogotá, que culminó con la expedición del mencionado Decreto Distrital 555 de 2021, se ajustó a las disposiciones de</w:t>
            </w:r>
            <w:r w:rsidRPr="00B11233">
              <w:rPr>
                <w:rFonts w:ascii="Arial" w:eastAsia="Arial" w:hAnsi="Arial" w:cs="Arial"/>
                <w:bCs/>
                <w:iCs/>
                <w:sz w:val="16"/>
                <w:szCs w:val="16"/>
                <w:lang w:val="es-ES"/>
              </w:rPr>
              <w:t>l Decreto Único Reglamentario Nacional 1077 de 2015,</w:t>
            </w:r>
            <w:r>
              <w:rPr>
                <w:rFonts w:ascii="Arial" w:eastAsia="Arial" w:hAnsi="Arial" w:cs="Arial"/>
                <w:bCs/>
                <w:iCs/>
                <w:sz w:val="16"/>
                <w:szCs w:val="16"/>
                <w:lang w:val="es-ES"/>
              </w:rPr>
              <w:t xml:space="preserve"> con las</w:t>
            </w:r>
            <w:r w:rsidRPr="00B11233">
              <w:rPr>
                <w:rFonts w:ascii="Arial" w:eastAsia="Arial" w:hAnsi="Arial" w:cs="Arial"/>
                <w:bCs/>
                <w:iCs/>
                <w:sz w:val="16"/>
                <w:szCs w:val="16"/>
                <w:lang w:val="es-ES"/>
              </w:rPr>
              <w:t xml:space="preserve"> modifica</w:t>
            </w:r>
            <w:r>
              <w:rPr>
                <w:rFonts w:ascii="Arial" w:eastAsia="Arial" w:hAnsi="Arial" w:cs="Arial"/>
                <w:bCs/>
                <w:iCs/>
                <w:sz w:val="16"/>
                <w:szCs w:val="16"/>
                <w:lang w:val="es-ES"/>
              </w:rPr>
              <w:t>ciones y adiciones d</w:t>
            </w:r>
            <w:r w:rsidRPr="00B11233">
              <w:rPr>
                <w:rFonts w:ascii="Arial" w:eastAsia="Arial" w:hAnsi="Arial" w:cs="Arial"/>
                <w:bCs/>
                <w:iCs/>
                <w:sz w:val="16"/>
                <w:szCs w:val="16"/>
                <w:lang w:val="es-ES"/>
              </w:rPr>
              <w:t>el Decreto Nacional 1232 del 14 de septiembre de 2020</w:t>
            </w:r>
            <w:r>
              <w:rPr>
                <w:rFonts w:ascii="Arial" w:eastAsia="Arial" w:hAnsi="Arial" w:cs="Arial"/>
                <w:bCs/>
                <w:iCs/>
                <w:sz w:val="16"/>
                <w:szCs w:val="16"/>
                <w:lang w:val="es-ES"/>
              </w:rPr>
              <w:t>. A continuación evidenciamos el cumplimiento de la orden 4.18, una vez agotadas todas las etapas para la expedición del citado Decreto Distrital:</w:t>
            </w:r>
          </w:p>
          <w:p w14:paraId="40D19BBB" w14:textId="77777777" w:rsidR="00EC4818" w:rsidRDefault="00EC4818" w:rsidP="008934D8">
            <w:pPr>
              <w:tabs>
                <w:tab w:val="left" w:pos="650"/>
              </w:tabs>
              <w:ind w:left="57" w:right="57" w:hanging="2"/>
              <w:jc w:val="both"/>
              <w:rPr>
                <w:rFonts w:ascii="Arial" w:eastAsia="Arial" w:hAnsi="Arial" w:cs="Arial"/>
                <w:sz w:val="16"/>
                <w:szCs w:val="16"/>
              </w:rPr>
            </w:pPr>
          </w:p>
          <w:p w14:paraId="4450348B" w14:textId="7777777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 xml:space="preserve">En el Subcapítulo 1. “Estructura Ecológica Principal – EEP”, Capítulo 4 “Estructuras Territoriales” del Título 2 “Contenido Estructural Del Plan” del Libro II del Decreto Distrital 555 de 2021, se incorporó el Plan de Ordenación y Manejo de la Cuenca Hidrográfica del Río Bogotá POMCA adoptado a través de la Resolución Conjunta 957 del 8 de abril de 2019, por parte de la Corporación Autónoma Regional de Cundinamarca -CAR, la Corporación Autónoma Regional del Guavio -CORPOGUAVIO, y la Corporación Autónoma Regional de la Orinoquia -CORPORINOQUIA, con la inclusión de las áreas del Sistema Nacional de Áreas Protegidas (públicas y privadas), Zonas de Conservación (Áreas de Conservación in situ y Sistema Distrital de Áreas Protegidas), Áreas de Especial Importancia Ecosistémica (Páramos y Sistema Hídrico) y Áreas Complementarias (Parque Contemplativos y de la Red Estructurante, Subzonas de importancia ambiental del POMCA y Áreas de resilencia climática) como elementos de la Estructura Ecológica Principal de la revisión al POT. </w:t>
            </w:r>
          </w:p>
          <w:p w14:paraId="53FC89A4" w14:textId="77777777" w:rsidR="00EC4818" w:rsidRDefault="00EC4818" w:rsidP="008934D8">
            <w:pPr>
              <w:tabs>
                <w:tab w:val="left" w:pos="650"/>
              </w:tabs>
              <w:ind w:left="57" w:right="57" w:hanging="2"/>
              <w:jc w:val="both"/>
              <w:rPr>
                <w:rFonts w:ascii="Arial" w:eastAsia="Arial" w:hAnsi="Arial" w:cs="Arial"/>
                <w:sz w:val="16"/>
                <w:szCs w:val="16"/>
              </w:rPr>
            </w:pPr>
          </w:p>
          <w:p w14:paraId="1A394DEB" w14:textId="77777777" w:rsidR="00EC4818" w:rsidRDefault="00EC4818" w:rsidP="008934D8">
            <w:pPr>
              <w:tabs>
                <w:tab w:val="left" w:pos="650"/>
              </w:tabs>
              <w:ind w:left="57" w:right="57" w:hanging="2"/>
              <w:jc w:val="center"/>
              <w:rPr>
                <w:rFonts w:ascii="Arial" w:eastAsia="Arial" w:hAnsi="Arial" w:cs="Arial"/>
                <w:sz w:val="16"/>
                <w:szCs w:val="16"/>
              </w:rPr>
            </w:pPr>
            <w:r>
              <w:rPr>
                <w:rFonts w:ascii="Arial" w:eastAsia="Arial" w:hAnsi="Arial" w:cs="Arial"/>
                <w:noProof/>
                <w:sz w:val="16"/>
                <w:szCs w:val="16"/>
                <w:lang w:val="es-CO" w:eastAsia="es-CO"/>
              </w:rPr>
              <w:drawing>
                <wp:inline distT="0" distB="0" distL="0" distR="0" wp14:anchorId="63A898F2" wp14:editId="5600590D">
                  <wp:extent cx="5457172" cy="2559577"/>
                  <wp:effectExtent l="0" t="0" r="0" b="0"/>
                  <wp:docPr id="1137" name="image25.png" descr="Interfaz de usuario gráfica&#10;&#10;Descripción generada automáticamente con confianza baja"/>
                  <wp:cNvGraphicFramePr/>
                  <a:graphic xmlns:a="http://schemas.openxmlformats.org/drawingml/2006/main">
                    <a:graphicData uri="http://schemas.openxmlformats.org/drawingml/2006/picture">
                      <pic:pic xmlns:pic="http://schemas.openxmlformats.org/drawingml/2006/picture">
                        <pic:nvPicPr>
                          <pic:cNvPr id="0" name="image25.png" descr="Interfaz de usuario gráfica&#10;&#10;Descripción generada automáticamente con confianza baja"/>
                          <pic:cNvPicPr preferRelativeResize="0"/>
                        </pic:nvPicPr>
                        <pic:blipFill>
                          <a:blip r:embed="rId8"/>
                          <a:srcRect l="25307" t="15527" r="25930" b="34646"/>
                          <a:stretch>
                            <a:fillRect/>
                          </a:stretch>
                        </pic:blipFill>
                        <pic:spPr>
                          <a:xfrm>
                            <a:off x="0" y="0"/>
                            <a:ext cx="5457172" cy="2559577"/>
                          </a:xfrm>
                          <a:prstGeom prst="rect">
                            <a:avLst/>
                          </a:prstGeom>
                          <a:ln/>
                        </pic:spPr>
                      </pic:pic>
                    </a:graphicData>
                  </a:graphic>
                </wp:inline>
              </w:drawing>
            </w:r>
          </w:p>
          <w:p w14:paraId="236EF515" w14:textId="77777777" w:rsidR="00EC4818" w:rsidRDefault="00EC4818" w:rsidP="008934D8">
            <w:pPr>
              <w:tabs>
                <w:tab w:val="left" w:pos="650"/>
              </w:tabs>
              <w:ind w:left="57" w:right="57" w:hanging="2"/>
              <w:jc w:val="both"/>
              <w:rPr>
                <w:rFonts w:ascii="Arial" w:eastAsia="Arial" w:hAnsi="Arial" w:cs="Arial"/>
                <w:sz w:val="16"/>
                <w:szCs w:val="16"/>
              </w:rPr>
            </w:pPr>
          </w:p>
          <w:p w14:paraId="72BCEFC2" w14:textId="77777777" w:rsidR="00EC4818" w:rsidRDefault="00EC4818" w:rsidP="008934D8">
            <w:pPr>
              <w:tabs>
                <w:tab w:val="left" w:pos="650"/>
              </w:tabs>
              <w:ind w:left="57" w:right="57" w:hanging="2"/>
              <w:jc w:val="both"/>
              <w:rPr>
                <w:rFonts w:ascii="Arial" w:eastAsia="Arial" w:hAnsi="Arial" w:cs="Arial"/>
                <w:sz w:val="16"/>
                <w:szCs w:val="16"/>
              </w:rPr>
            </w:pPr>
          </w:p>
          <w:p w14:paraId="5546CA1B" w14:textId="77777777"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lastRenderedPageBreak/>
              <w:t>Adicionalmente, durante la Etapa</w:t>
            </w:r>
            <w:r>
              <w:rPr>
                <w:rFonts w:ascii="Arial" w:eastAsia="Arial" w:hAnsi="Arial" w:cs="Arial"/>
                <w:color w:val="000000"/>
                <w:sz w:val="16"/>
                <w:szCs w:val="16"/>
              </w:rPr>
              <w:t xml:space="preserve"> de concertación ambiental, el Distrito Capital </w:t>
            </w:r>
            <w:r>
              <w:rPr>
                <w:rFonts w:ascii="Arial" w:eastAsia="Arial" w:hAnsi="Arial" w:cs="Arial"/>
                <w:sz w:val="16"/>
                <w:szCs w:val="16"/>
              </w:rPr>
              <w:t>realizó una armonización de los proyectos del POT con el componente programático del POMCA del Río Bogotá, identificando proyectos con objetivos complementarios en ambos instrumentos. Esta armonización es de dos sentidos: el aporte del POT al POMCA, pero también el aporte del POMCA al POT.</w:t>
            </w:r>
          </w:p>
          <w:p w14:paraId="17C4458D" w14:textId="77777777" w:rsidR="00EC4818" w:rsidRDefault="00EC4818" w:rsidP="008934D8">
            <w:pPr>
              <w:ind w:left="57" w:right="57" w:hanging="2"/>
              <w:jc w:val="both"/>
              <w:rPr>
                <w:rFonts w:ascii="Arial" w:eastAsia="Arial" w:hAnsi="Arial" w:cs="Arial"/>
                <w:sz w:val="16"/>
                <w:szCs w:val="16"/>
              </w:rPr>
            </w:pPr>
          </w:p>
          <w:p w14:paraId="576BACBA" w14:textId="77777777" w:rsidR="004C2031" w:rsidRDefault="00EC4818" w:rsidP="008934D8">
            <w:pPr>
              <w:ind w:left="57" w:right="57" w:hanging="2"/>
              <w:jc w:val="center"/>
              <w:rPr>
                <w:rFonts w:ascii="Arial" w:eastAsia="Arial" w:hAnsi="Arial" w:cs="Arial"/>
                <w:sz w:val="16"/>
                <w:szCs w:val="16"/>
              </w:rPr>
            </w:pPr>
            <w:r>
              <w:rPr>
                <w:noProof/>
                <w:sz w:val="16"/>
                <w:szCs w:val="16"/>
                <w:lang w:val="es-CO" w:eastAsia="es-CO"/>
              </w:rPr>
              <w:drawing>
                <wp:inline distT="0" distB="0" distL="0" distR="0" wp14:anchorId="66651918" wp14:editId="4F809199">
                  <wp:extent cx="5383642" cy="2856754"/>
                  <wp:effectExtent l="0" t="0" r="0" b="0"/>
                  <wp:docPr id="1136" name="image31.png" descr="Interfaz de usuario gráfica, Aplicación&#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1.png" descr="Interfaz de usuario gráfica, Aplicación&#10;&#10;Descripción generada automáticamente"/>
                          <pic:cNvPicPr preferRelativeResize="0"/>
                        </pic:nvPicPr>
                        <pic:blipFill>
                          <a:blip r:embed="rId9"/>
                          <a:srcRect l="25034" t="12977" r="25942" b="38809"/>
                          <a:stretch>
                            <a:fillRect/>
                          </a:stretch>
                        </pic:blipFill>
                        <pic:spPr>
                          <a:xfrm>
                            <a:off x="0" y="0"/>
                            <a:ext cx="5383642" cy="2856754"/>
                          </a:xfrm>
                          <a:prstGeom prst="rect">
                            <a:avLst/>
                          </a:prstGeom>
                          <a:ln/>
                        </pic:spPr>
                      </pic:pic>
                    </a:graphicData>
                  </a:graphic>
                </wp:inline>
              </w:drawing>
            </w:r>
          </w:p>
          <w:p w14:paraId="4171F532" w14:textId="77777777" w:rsidR="004C2031" w:rsidRDefault="004C2031" w:rsidP="008934D8">
            <w:pPr>
              <w:ind w:left="57" w:right="57" w:hanging="2"/>
              <w:jc w:val="both"/>
              <w:rPr>
                <w:rFonts w:ascii="Arial" w:eastAsia="Arial" w:hAnsi="Arial" w:cs="Arial"/>
                <w:sz w:val="16"/>
                <w:szCs w:val="16"/>
              </w:rPr>
            </w:pPr>
          </w:p>
          <w:p w14:paraId="5FAD0099" w14:textId="6D35BBC9"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t xml:space="preserve">Igualmente, se incluyó el Componente de Gestión de Riesgos de Desastres y Cambio Climático, con estrategias y medidas para la mitigación y adaptación al cambio climático, conforme a los estudios de amenaza y requerimientos normativos exigidos (Decreto 1807 de 2014 compilado por el Decreto 1077 de 2015), incorporando la gestión de riesgos de desastres en el POT para Movimientos en masa, Avenidas Torrenciales y/o Crecientes Súbitas, Inundación, Incendios Forestales, Sísmica y Tecnológica. </w:t>
            </w:r>
          </w:p>
          <w:p w14:paraId="0AFCC746" w14:textId="77777777" w:rsidR="00EC4818" w:rsidRDefault="00EC4818" w:rsidP="008934D8">
            <w:pPr>
              <w:ind w:left="57" w:right="57" w:hanging="2"/>
              <w:jc w:val="both"/>
              <w:rPr>
                <w:rFonts w:ascii="Arial" w:eastAsia="Arial" w:hAnsi="Arial" w:cs="Arial"/>
                <w:sz w:val="16"/>
                <w:szCs w:val="16"/>
              </w:rPr>
            </w:pPr>
          </w:p>
          <w:p w14:paraId="1E758C2B" w14:textId="77777777"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t>Esta armonización le apuntó a uno de los objetivos de largo plazo del POT, consistente en: Incrementar la capacidad de resiliencia del territorio frente a la ocurrencia de desastres derivados de la variabilidad y del cambio climático.</w:t>
            </w:r>
          </w:p>
          <w:p w14:paraId="1E8F08E4" w14:textId="77777777" w:rsidR="00EC4818" w:rsidRDefault="00EC4818" w:rsidP="008934D8">
            <w:pPr>
              <w:ind w:left="57" w:right="57" w:hanging="2"/>
              <w:jc w:val="both"/>
              <w:rPr>
                <w:rFonts w:ascii="Arial" w:eastAsia="Arial" w:hAnsi="Arial" w:cs="Arial"/>
                <w:sz w:val="16"/>
                <w:szCs w:val="16"/>
              </w:rPr>
            </w:pPr>
          </w:p>
          <w:p w14:paraId="7054E04D" w14:textId="77777777"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t xml:space="preserve">Para ese efecto, el POT incorpora los componentes de gestión de riesgos de desastres y cambio climático, estableciendo las siguientes estrategias asociadas: </w:t>
            </w:r>
            <w:r>
              <w:rPr>
                <w:rFonts w:ascii="Arial" w:eastAsia="Arial" w:hAnsi="Arial" w:cs="Arial"/>
                <w:i/>
                <w:sz w:val="16"/>
                <w:szCs w:val="16"/>
              </w:rPr>
              <w:t>i)</w:t>
            </w:r>
            <w:r>
              <w:rPr>
                <w:rFonts w:ascii="Arial" w:eastAsia="Arial" w:hAnsi="Arial" w:cs="Arial"/>
                <w:sz w:val="16"/>
                <w:szCs w:val="16"/>
              </w:rPr>
              <w:t xml:space="preserve"> Localización y construcción segura y resiliente, </w:t>
            </w:r>
            <w:r>
              <w:rPr>
                <w:rFonts w:ascii="Arial" w:eastAsia="Arial" w:hAnsi="Arial" w:cs="Arial"/>
                <w:i/>
                <w:sz w:val="16"/>
                <w:szCs w:val="16"/>
              </w:rPr>
              <w:t>ii)</w:t>
            </w:r>
            <w:r>
              <w:rPr>
                <w:rFonts w:ascii="Arial" w:eastAsia="Arial" w:hAnsi="Arial" w:cs="Arial"/>
                <w:sz w:val="16"/>
                <w:szCs w:val="16"/>
              </w:rPr>
              <w:t xml:space="preserve"> capacidad adaptativa y corresponsabilidad en la gestión del riesgo, </w:t>
            </w:r>
            <w:r>
              <w:rPr>
                <w:rFonts w:ascii="Arial" w:eastAsia="Arial" w:hAnsi="Arial" w:cs="Arial"/>
                <w:i/>
                <w:sz w:val="16"/>
                <w:szCs w:val="16"/>
              </w:rPr>
              <w:t>iii)</w:t>
            </w:r>
            <w:r>
              <w:rPr>
                <w:rFonts w:ascii="Arial" w:eastAsia="Arial" w:hAnsi="Arial" w:cs="Arial"/>
                <w:sz w:val="16"/>
                <w:szCs w:val="16"/>
              </w:rPr>
              <w:t xml:space="preserve"> Comunidades y ecosistemas resilientes y adaptados y </w:t>
            </w:r>
            <w:r>
              <w:rPr>
                <w:rFonts w:ascii="Arial" w:eastAsia="Arial" w:hAnsi="Arial" w:cs="Arial"/>
                <w:i/>
                <w:sz w:val="16"/>
                <w:szCs w:val="16"/>
              </w:rPr>
              <w:t>iv)</w:t>
            </w:r>
            <w:r>
              <w:rPr>
                <w:rFonts w:ascii="Arial" w:eastAsia="Arial" w:hAnsi="Arial" w:cs="Arial"/>
                <w:sz w:val="16"/>
                <w:szCs w:val="16"/>
              </w:rPr>
              <w:t xml:space="preserve"> Desarrollo bajo en carbono para contribuir con la disminución de los gases con efecto invernadero. </w:t>
            </w:r>
          </w:p>
          <w:p w14:paraId="032DE323" w14:textId="77777777" w:rsidR="00EC4818" w:rsidRDefault="00EC4818" w:rsidP="008934D8">
            <w:pPr>
              <w:ind w:left="57" w:right="57" w:hanging="2"/>
              <w:jc w:val="both"/>
              <w:rPr>
                <w:rFonts w:ascii="Arial" w:eastAsia="Arial" w:hAnsi="Arial" w:cs="Arial"/>
                <w:sz w:val="16"/>
                <w:szCs w:val="16"/>
              </w:rPr>
            </w:pPr>
          </w:p>
          <w:p w14:paraId="126F5E41" w14:textId="77777777" w:rsidR="00EC4818" w:rsidRDefault="00EC4818" w:rsidP="008934D8">
            <w:pPr>
              <w:ind w:left="57" w:right="57" w:hanging="2"/>
              <w:jc w:val="both"/>
              <w:rPr>
                <w:rFonts w:ascii="Arial" w:eastAsia="Arial" w:hAnsi="Arial" w:cs="Arial"/>
                <w:sz w:val="16"/>
                <w:szCs w:val="16"/>
              </w:rPr>
            </w:pPr>
            <w:r>
              <w:rPr>
                <w:rFonts w:ascii="Arial" w:eastAsia="Arial" w:hAnsi="Arial" w:cs="Arial"/>
                <w:sz w:val="16"/>
                <w:szCs w:val="16"/>
              </w:rPr>
              <w:t>Es así como el POT adopta como medidas para la mitigación y adaptación al cambio climático, las siguientes:</w:t>
            </w:r>
          </w:p>
          <w:p w14:paraId="557FA15B" w14:textId="77777777" w:rsidR="00EC4818" w:rsidRDefault="00EC4818" w:rsidP="008934D8">
            <w:pPr>
              <w:ind w:left="57" w:right="57" w:hanging="2"/>
              <w:jc w:val="both"/>
              <w:rPr>
                <w:rFonts w:ascii="Arial" w:eastAsia="Arial" w:hAnsi="Arial" w:cs="Arial"/>
                <w:sz w:val="16"/>
                <w:szCs w:val="16"/>
              </w:rPr>
            </w:pPr>
          </w:p>
          <w:p w14:paraId="1C5E0451" w14:textId="77777777" w:rsidR="00EC4818" w:rsidRDefault="00EC4818" w:rsidP="008934D8">
            <w:pPr>
              <w:ind w:left="57" w:right="57" w:hanging="2"/>
              <w:jc w:val="center"/>
              <w:rPr>
                <w:rFonts w:ascii="Arial" w:eastAsia="Arial" w:hAnsi="Arial" w:cs="Arial"/>
                <w:sz w:val="16"/>
                <w:szCs w:val="16"/>
              </w:rPr>
            </w:pPr>
            <w:r>
              <w:rPr>
                <w:noProof/>
                <w:sz w:val="16"/>
                <w:szCs w:val="16"/>
                <w:lang w:val="es-CO" w:eastAsia="es-CO"/>
              </w:rPr>
              <w:lastRenderedPageBreak/>
              <w:drawing>
                <wp:inline distT="0" distB="0" distL="0" distR="0" wp14:anchorId="125E794B" wp14:editId="4D5FFC80">
                  <wp:extent cx="5420887" cy="2915583"/>
                  <wp:effectExtent l="0" t="0" r="0" b="0"/>
                  <wp:docPr id="1139" name="image32.png" descr="Interfaz de usuario gráfica, Aplicación, Tabla&#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2.png" descr="Interfaz de usuario gráfica, Aplicación, Tabla&#10;&#10;Descripción generada automáticamente"/>
                          <pic:cNvPicPr preferRelativeResize="0"/>
                        </pic:nvPicPr>
                        <pic:blipFill>
                          <a:blip r:embed="rId10"/>
                          <a:srcRect l="25954" t="34531" r="26320" b="16563"/>
                          <a:stretch>
                            <a:fillRect/>
                          </a:stretch>
                        </pic:blipFill>
                        <pic:spPr>
                          <a:xfrm>
                            <a:off x="0" y="0"/>
                            <a:ext cx="5420887" cy="2915583"/>
                          </a:xfrm>
                          <a:prstGeom prst="rect">
                            <a:avLst/>
                          </a:prstGeom>
                          <a:ln/>
                        </pic:spPr>
                      </pic:pic>
                    </a:graphicData>
                  </a:graphic>
                </wp:inline>
              </w:drawing>
            </w:r>
          </w:p>
          <w:p w14:paraId="5DD84C40" w14:textId="77777777" w:rsidR="00EC4818" w:rsidRDefault="00EC4818" w:rsidP="008934D8">
            <w:pPr>
              <w:ind w:left="57" w:right="57" w:hanging="2"/>
              <w:jc w:val="both"/>
              <w:rPr>
                <w:rFonts w:ascii="Arial" w:eastAsia="Arial" w:hAnsi="Arial" w:cs="Arial"/>
                <w:sz w:val="16"/>
                <w:szCs w:val="16"/>
              </w:rPr>
            </w:pPr>
          </w:p>
          <w:p w14:paraId="4DF20F43" w14:textId="77777777" w:rsidR="00EC4818" w:rsidRDefault="00EC4818" w:rsidP="008934D8">
            <w:pPr>
              <w:ind w:left="57" w:right="57" w:hanging="2"/>
              <w:jc w:val="both"/>
              <w:rPr>
                <w:rFonts w:ascii="Arial" w:eastAsia="Arial" w:hAnsi="Arial" w:cs="Arial"/>
                <w:color w:val="333333"/>
                <w:sz w:val="16"/>
                <w:szCs w:val="16"/>
                <w:highlight w:val="white"/>
              </w:rPr>
            </w:pPr>
            <w:r>
              <w:rPr>
                <w:rFonts w:ascii="Arial" w:eastAsia="Arial" w:hAnsi="Arial" w:cs="Arial"/>
                <w:sz w:val="16"/>
                <w:szCs w:val="16"/>
              </w:rPr>
              <w:t xml:space="preserve">Por su parte, frente al gestión de riesgos de desastres, en relación con elementos que componen los estudios básicos de amenaza, se señala que el POT incorporó los insumos que sobre este asunto aportó el IDIGER en cumplimiento de lo previsto por el Decreto 1077 de 2015, </w:t>
            </w:r>
            <w:r>
              <w:rPr>
                <w:rFonts w:ascii="Arial" w:eastAsia="Arial" w:hAnsi="Arial" w:cs="Arial"/>
                <w:i/>
                <w:color w:val="333333"/>
                <w:sz w:val="16"/>
                <w:szCs w:val="16"/>
                <w:highlight w:val="white"/>
              </w:rPr>
              <w:t>"Por medio del cual se expide el Decreto Único Reglamentario del Sector Vivienda, Ciudad y Territorio."</w:t>
            </w:r>
            <w:r>
              <w:rPr>
                <w:rFonts w:ascii="Arial" w:eastAsia="Arial" w:hAnsi="Arial" w:cs="Arial"/>
                <w:color w:val="333333"/>
                <w:sz w:val="16"/>
                <w:szCs w:val="16"/>
                <w:highlight w:val="white"/>
              </w:rPr>
              <w:t>. Es así como dichos estudios se estructuran a partir de la determinación de 1) Zonificación de amenaza, 2) Áreas con condición de amenaza, 3) Áreas con condición de riesgo y 4) Medidas de intervención.</w:t>
            </w:r>
          </w:p>
          <w:p w14:paraId="5A405947" w14:textId="77777777" w:rsidR="00EC4818" w:rsidRDefault="00EC4818" w:rsidP="008934D8">
            <w:pPr>
              <w:ind w:left="57" w:right="57" w:hanging="2"/>
              <w:jc w:val="both"/>
              <w:rPr>
                <w:rFonts w:ascii="Arial" w:eastAsia="Arial" w:hAnsi="Arial" w:cs="Arial"/>
                <w:color w:val="333333"/>
                <w:sz w:val="16"/>
                <w:szCs w:val="16"/>
                <w:highlight w:val="white"/>
              </w:rPr>
            </w:pPr>
          </w:p>
          <w:p w14:paraId="71ADCDC2" w14:textId="77777777" w:rsidR="00EC4818" w:rsidRDefault="00EC4818" w:rsidP="008934D8">
            <w:pPr>
              <w:ind w:left="57" w:right="57" w:hanging="2"/>
              <w:jc w:val="both"/>
              <w:rPr>
                <w:rFonts w:ascii="Arial" w:eastAsia="Arial" w:hAnsi="Arial" w:cs="Arial"/>
                <w:sz w:val="16"/>
                <w:szCs w:val="16"/>
              </w:rPr>
            </w:pPr>
            <w:r>
              <w:rPr>
                <w:noProof/>
                <w:sz w:val="16"/>
                <w:szCs w:val="16"/>
                <w:lang w:val="es-CO" w:eastAsia="es-CO"/>
              </w:rPr>
              <w:lastRenderedPageBreak/>
              <w:drawing>
                <wp:inline distT="0" distB="0" distL="0" distR="0" wp14:anchorId="76669490" wp14:editId="585E3EE3">
                  <wp:extent cx="5428352" cy="2967168"/>
                  <wp:effectExtent l="0" t="0" r="0" b="0"/>
                  <wp:docPr id="1138" name="image28.png" descr="Interfaz de usuario gráfica, Texto, Aplicación, Chat o mensaje de text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28.png" descr="Interfaz de usuario gráfica, Texto, Aplicación, Chat o mensaje de texto&#10;&#10;Descripción generada automáticamente"/>
                          <pic:cNvPicPr preferRelativeResize="0"/>
                        </pic:nvPicPr>
                        <pic:blipFill>
                          <a:blip r:embed="rId11"/>
                          <a:srcRect l="24907" t="15758" r="25549" b="34177"/>
                          <a:stretch>
                            <a:fillRect/>
                          </a:stretch>
                        </pic:blipFill>
                        <pic:spPr>
                          <a:xfrm>
                            <a:off x="0" y="0"/>
                            <a:ext cx="5428352" cy="2967168"/>
                          </a:xfrm>
                          <a:prstGeom prst="rect">
                            <a:avLst/>
                          </a:prstGeom>
                          <a:ln/>
                        </pic:spPr>
                      </pic:pic>
                    </a:graphicData>
                  </a:graphic>
                </wp:inline>
              </w:drawing>
            </w:r>
          </w:p>
          <w:p w14:paraId="03B22AE3" w14:textId="77777777" w:rsidR="00EC4818" w:rsidRDefault="00EC4818" w:rsidP="008934D8">
            <w:pPr>
              <w:tabs>
                <w:tab w:val="left" w:pos="650"/>
              </w:tabs>
              <w:ind w:left="57" w:right="57" w:hanging="2"/>
              <w:jc w:val="both"/>
              <w:rPr>
                <w:rFonts w:ascii="Arial" w:eastAsia="Arial" w:hAnsi="Arial" w:cs="Arial"/>
                <w:sz w:val="16"/>
                <w:szCs w:val="16"/>
              </w:rPr>
            </w:pPr>
          </w:p>
          <w:p w14:paraId="652405ED" w14:textId="726D9971"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El IDIGER elabor</w:t>
            </w:r>
            <w:r w:rsidR="00B6322A">
              <w:rPr>
                <w:rFonts w:ascii="Arial" w:eastAsia="Arial" w:hAnsi="Arial" w:cs="Arial"/>
                <w:sz w:val="16"/>
                <w:szCs w:val="16"/>
              </w:rPr>
              <w:t>ó</w:t>
            </w:r>
            <w:r>
              <w:rPr>
                <w:rFonts w:ascii="Arial" w:eastAsia="Arial" w:hAnsi="Arial" w:cs="Arial"/>
                <w:sz w:val="16"/>
                <w:szCs w:val="16"/>
              </w:rPr>
              <w:t xml:space="preserve"> los mapas de zonificación de amenaza para la planificación de intervenciones estratégicas del Distrito Capital, así como emite los conceptos técnicos de riesgo para la planificación sectorial y territorial a nivel de predio, para cada barrio o asentamiento requerido por las diferentes Secretarías del Distrito, en virtud de la obligación a su cargo contenida en el numeral 2.3. del Decreto Distrital 173 de 2014: </w:t>
            </w:r>
            <w:r>
              <w:rPr>
                <w:rFonts w:ascii="Arial" w:eastAsia="Arial" w:hAnsi="Arial" w:cs="Arial"/>
                <w:i/>
                <w:sz w:val="16"/>
                <w:szCs w:val="16"/>
              </w:rPr>
              <w:t>“Elaborar y actualizar los estudios y la zonificación de amenaza, vulnerabilidad y riesgos, requeridos para la gestión de riesgos en el Distrito Capital</w:t>
            </w:r>
            <w:r>
              <w:rPr>
                <w:rFonts w:ascii="Arial" w:eastAsia="Arial" w:hAnsi="Arial" w:cs="Arial"/>
                <w:sz w:val="16"/>
                <w:szCs w:val="16"/>
              </w:rPr>
              <w:t xml:space="preserve">”. </w:t>
            </w:r>
          </w:p>
          <w:p w14:paraId="32044F88" w14:textId="77777777" w:rsidR="00EC4818" w:rsidRDefault="00EC4818" w:rsidP="008934D8">
            <w:pPr>
              <w:tabs>
                <w:tab w:val="left" w:pos="650"/>
              </w:tabs>
              <w:ind w:left="57" w:right="57" w:hanging="2"/>
              <w:jc w:val="both"/>
              <w:rPr>
                <w:rFonts w:ascii="Arial" w:eastAsia="Arial" w:hAnsi="Arial" w:cs="Arial"/>
                <w:sz w:val="16"/>
                <w:szCs w:val="16"/>
              </w:rPr>
            </w:pPr>
          </w:p>
          <w:p w14:paraId="6A6BE69A" w14:textId="7777777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Considerando lo anterior y según lo establecido en la Ley 1523 de 2012, en lo correspondiente al proceso de conocimiento del riesgo, el IDIGER adelantó la revisión y actualización a los estudios básicos que establece el Decreto 1807 de 2014 (compilado por el Decreto 1077 de 2015), para la revisión de los contenidos de mediano y largo plazo del Plan de Ordenamiento Territorial – POT, adoptado mediante el Decreto Distrital 555 de 2021. Estos estudios se realizaron y actualizaron mediante análisis básicos de amenaza por movimientos en masa, inundación, avenidas torrenciales e incendios forestales. Dichos análisis se realizaron con las condiciones técnicas y escalas establecidas por el Decreto en mención, considerando las condiciones actuales de la ciudad y demás información disponible. A partir de los análisis se generaron los mapas de amenaza para toda la ciudad de Bogotá, los cuales fueron incorporados en el POT de la ciudad. En dichos mapas se categorizaron las zonas de la ciudad con amenaza alta, media y baja para cada uno de los fenómenos amenazantes mencionados.</w:t>
            </w:r>
          </w:p>
          <w:p w14:paraId="487A85C0" w14:textId="77777777" w:rsidR="00EC4818" w:rsidRDefault="00EC4818" w:rsidP="008934D8">
            <w:pPr>
              <w:tabs>
                <w:tab w:val="left" w:pos="650"/>
              </w:tabs>
              <w:ind w:left="57" w:right="57" w:hanging="2"/>
              <w:jc w:val="both"/>
              <w:rPr>
                <w:rFonts w:ascii="Arial" w:eastAsia="Arial" w:hAnsi="Arial" w:cs="Arial"/>
                <w:sz w:val="16"/>
                <w:szCs w:val="16"/>
              </w:rPr>
            </w:pPr>
          </w:p>
          <w:p w14:paraId="1F69EE7E" w14:textId="7777777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 xml:space="preserve">Es pertinente señalar que de acuerdo con lo establecido por el artículo 5 del Decreto 1807 de 2014, la información contenida en los planos de amenaza para suelo urbano y de expansión, elaborados en el marco de los estudios básicos a escala 1:5000 dan </w:t>
            </w:r>
            <w:r>
              <w:rPr>
                <w:rFonts w:ascii="Arial" w:eastAsia="Arial" w:hAnsi="Arial" w:cs="Arial"/>
                <w:sz w:val="16"/>
                <w:szCs w:val="16"/>
              </w:rPr>
              <w:lastRenderedPageBreak/>
              <w:t>indicaciones respecto a las condiciones generales de la amenaza en el suelo urbano de toda la ciudad y no precisa los escenarios de amenaza o riesgo a nivel de detalle, lo cual corresponde a los estudios detallados.</w:t>
            </w:r>
          </w:p>
          <w:p w14:paraId="3DEF2626" w14:textId="77777777" w:rsidR="00EC4818" w:rsidRDefault="00EC4818" w:rsidP="008934D8">
            <w:pPr>
              <w:tabs>
                <w:tab w:val="left" w:pos="650"/>
              </w:tabs>
              <w:ind w:left="57" w:right="57" w:hanging="2"/>
              <w:jc w:val="both"/>
              <w:rPr>
                <w:rFonts w:ascii="Arial" w:eastAsia="Arial" w:hAnsi="Arial" w:cs="Arial"/>
                <w:sz w:val="16"/>
                <w:szCs w:val="16"/>
              </w:rPr>
            </w:pPr>
          </w:p>
          <w:p w14:paraId="1A97597F" w14:textId="77777777"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 xml:space="preserve">Respecto a estos estudios básicos, es pertinente mencionar que el IDIGER realizó jornadas técnicas con el contratista encargado de la elaboración del Plan de Ordenación y Manejo de la Cuenca Hidrográfica (POMCA) del río Bogotá, para revisar las metodologías que se usaron conforme a los requerimientos técnicos, normativos y contractuales para la evaluación de amenaza, tanto del POT como del POMCA con el fin de precisar alcances, resultados y limitaciones de una y otra. De ellas se concluyó que, por tratarse de metodologías distintas en su alcance, debían mantenerse mapas tanto para el POMCA como para el POT. </w:t>
            </w:r>
          </w:p>
          <w:p w14:paraId="3B5120DF" w14:textId="77777777" w:rsidR="00EC4818" w:rsidRDefault="00EC4818" w:rsidP="008934D8">
            <w:pPr>
              <w:tabs>
                <w:tab w:val="left" w:pos="650"/>
              </w:tabs>
              <w:ind w:left="57" w:right="57" w:hanging="2"/>
              <w:jc w:val="both"/>
              <w:rPr>
                <w:rFonts w:ascii="Arial" w:eastAsia="Arial" w:hAnsi="Arial" w:cs="Arial"/>
                <w:sz w:val="16"/>
                <w:szCs w:val="16"/>
              </w:rPr>
            </w:pPr>
          </w:p>
          <w:p w14:paraId="3266ECA5" w14:textId="69B3E17A" w:rsidR="00EC4818" w:rsidRDefault="00EC4818" w:rsidP="008934D8">
            <w:pPr>
              <w:tabs>
                <w:tab w:val="left" w:pos="650"/>
              </w:tabs>
              <w:ind w:left="57" w:right="57" w:hanging="2"/>
              <w:jc w:val="both"/>
              <w:rPr>
                <w:rFonts w:ascii="Arial" w:eastAsia="Arial" w:hAnsi="Arial" w:cs="Arial"/>
                <w:sz w:val="16"/>
                <w:szCs w:val="16"/>
              </w:rPr>
            </w:pPr>
            <w:r>
              <w:rPr>
                <w:rFonts w:ascii="Arial" w:eastAsia="Arial" w:hAnsi="Arial" w:cs="Arial"/>
                <w:sz w:val="16"/>
                <w:szCs w:val="16"/>
              </w:rPr>
              <w:t>Lo anterior, se realizó teniendo en cuenta lo indicado en la sentencia del Río Bogotá y considerando la aprobación y ajuste del POMCA del río Bogotá, el cual se adoptó a través de la Resolución 0957 de 02 de abril de 2019. De esta manera, se garantizó la armonización de las consideraciones y demás determinantes en cuanto a la gestión del riesgo en el POMCA, como instrumento de superior jerarquía y de obligatoria articulación con el Plan de Ordenamiento Territorial. Finalmente, el IDIGER inform</w:t>
            </w:r>
            <w:r w:rsidR="00B6322A">
              <w:rPr>
                <w:rFonts w:ascii="Arial" w:eastAsia="Arial" w:hAnsi="Arial" w:cs="Arial"/>
                <w:sz w:val="16"/>
                <w:szCs w:val="16"/>
              </w:rPr>
              <w:t>ó</w:t>
            </w:r>
            <w:r>
              <w:rPr>
                <w:rFonts w:ascii="Arial" w:eastAsia="Arial" w:hAnsi="Arial" w:cs="Arial"/>
                <w:sz w:val="16"/>
                <w:szCs w:val="16"/>
              </w:rPr>
              <w:t xml:space="preserve"> que previo a la adopción de los mapas de amenaza en el Decreto Distrital 555 de 2021, el Distrito Capital también surtió la etapa de concertación con la Corporación Autónoma Regional de Cundinamarca – CAR, autoridad ambiental responsable del POMCA del río Bogotá.</w:t>
            </w:r>
          </w:p>
          <w:p w14:paraId="34DDE5D4" w14:textId="77777777" w:rsidR="00B11233" w:rsidRDefault="00B11233" w:rsidP="008934D8">
            <w:pPr>
              <w:tabs>
                <w:tab w:val="left" w:pos="650"/>
              </w:tabs>
              <w:ind w:left="57" w:right="57" w:hanging="2"/>
              <w:jc w:val="both"/>
              <w:rPr>
                <w:rFonts w:ascii="Arial" w:eastAsia="Arial" w:hAnsi="Arial" w:cs="Arial"/>
                <w:sz w:val="16"/>
                <w:szCs w:val="16"/>
              </w:rPr>
            </w:pPr>
          </w:p>
          <w:p w14:paraId="5159872B" w14:textId="2E09236C" w:rsidR="00EC4818" w:rsidRPr="00EC4818" w:rsidRDefault="00EC4818" w:rsidP="008934D8">
            <w:pPr>
              <w:ind w:left="57" w:right="57" w:hanging="2"/>
              <w:jc w:val="both"/>
              <w:rPr>
                <w:rFonts w:ascii="Arial" w:eastAsia="Arial" w:hAnsi="Arial" w:cs="Arial"/>
                <w:b/>
                <w:sz w:val="16"/>
                <w:szCs w:val="16"/>
              </w:rPr>
            </w:pPr>
            <w:r>
              <w:rPr>
                <w:rFonts w:ascii="Arial" w:eastAsia="Arial" w:hAnsi="Arial" w:cs="Arial"/>
                <w:sz w:val="16"/>
                <w:szCs w:val="16"/>
              </w:rPr>
              <w:t xml:space="preserve">Estado de Cumplimiento: </w:t>
            </w:r>
            <w:r>
              <w:rPr>
                <w:rFonts w:ascii="Arial" w:eastAsia="Arial" w:hAnsi="Arial" w:cs="Arial"/>
                <w:b/>
                <w:sz w:val="16"/>
                <w:szCs w:val="16"/>
              </w:rPr>
              <w:t>CUMPLIDA</w:t>
            </w:r>
          </w:p>
        </w:tc>
        <w:tc>
          <w:tcPr>
            <w:tcW w:w="2268" w:type="dxa"/>
            <w:gridSpan w:val="2"/>
            <w:tcBorders>
              <w:top w:val="nil"/>
              <w:left w:val="nil"/>
              <w:bottom w:val="single" w:sz="12" w:space="0" w:color="auto"/>
              <w:right w:val="single" w:sz="12" w:space="0" w:color="auto"/>
            </w:tcBorders>
            <w:shd w:val="clear" w:color="auto" w:fill="auto"/>
            <w:noWrap/>
            <w:hideMark/>
          </w:tcPr>
          <w:p w14:paraId="72A3660B" w14:textId="5600EF70" w:rsidR="00EC4818" w:rsidRPr="00EC4818" w:rsidRDefault="008241C0" w:rsidP="008934D8">
            <w:pPr>
              <w:ind w:left="57" w:right="57"/>
              <w:jc w:val="both"/>
              <w:rPr>
                <w:rFonts w:ascii="Arial" w:eastAsia="Times New Roman" w:hAnsi="Arial" w:cs="Arial"/>
                <w:color w:val="000000"/>
                <w:sz w:val="16"/>
                <w:szCs w:val="16"/>
                <w:lang w:val="es-CO" w:eastAsia="es-CO"/>
              </w:rPr>
            </w:pPr>
            <w:r w:rsidRPr="008241C0">
              <w:rPr>
                <w:rFonts w:ascii="Arial" w:eastAsia="Times New Roman" w:hAnsi="Arial" w:cs="Arial"/>
                <w:color w:val="000000"/>
                <w:sz w:val="16"/>
                <w:szCs w:val="16"/>
                <w:lang w:val="es-CO" w:eastAsia="es-CO"/>
              </w:rPr>
              <w:lastRenderedPageBreak/>
              <w:t>El cumplimiento de la orden 4.18, a través de la expedición del Decreto Distrital 555 de 2021</w:t>
            </w:r>
            <w:r w:rsidRPr="008241C0">
              <w:rPr>
                <w:rFonts w:ascii="Arial" w:eastAsia="Times New Roman" w:hAnsi="Arial" w:cs="Arial"/>
                <w:iCs/>
                <w:color w:val="000000"/>
                <w:sz w:val="16"/>
                <w:szCs w:val="16"/>
                <w:lang w:eastAsia="es-CO"/>
              </w:rPr>
              <w:t>, no implicó la inversión específica de recursos para ello o de rubros especiales para el cumplimiento de la sentencia por parte de la SDP. El cumplimiento de la orden se realizó con el presupuesto propio y de funcionamiento, en el marco de revisión ordinaria del POT.</w:t>
            </w:r>
          </w:p>
        </w:tc>
        <w:tc>
          <w:tcPr>
            <w:tcW w:w="1412" w:type="dxa"/>
            <w:gridSpan w:val="2"/>
            <w:tcBorders>
              <w:top w:val="nil"/>
              <w:left w:val="nil"/>
              <w:bottom w:val="single" w:sz="12" w:space="0" w:color="auto"/>
              <w:right w:val="single" w:sz="12" w:space="0" w:color="auto"/>
            </w:tcBorders>
            <w:shd w:val="clear" w:color="auto" w:fill="auto"/>
            <w:noWrap/>
            <w:hideMark/>
          </w:tcPr>
          <w:p w14:paraId="018EA3A5" w14:textId="77777777" w:rsidR="00EC4818" w:rsidRPr="00EC4818" w:rsidRDefault="00EC4818" w:rsidP="008934D8">
            <w:pPr>
              <w:ind w:left="57" w:right="57"/>
              <w:jc w:val="center"/>
              <w:rPr>
                <w:rFonts w:ascii="Arial" w:eastAsia="Times New Roman" w:hAnsi="Arial" w:cs="Arial"/>
                <w:color w:val="000000"/>
                <w:sz w:val="22"/>
                <w:szCs w:val="22"/>
                <w:lang w:val="es-CO" w:eastAsia="es-CO"/>
              </w:rPr>
            </w:pPr>
            <w:r w:rsidRPr="00EC4818">
              <w:rPr>
                <w:rFonts w:ascii="Arial" w:eastAsia="Times New Roman" w:hAnsi="Arial" w:cs="Arial"/>
                <w:color w:val="000000"/>
                <w:sz w:val="22"/>
                <w:szCs w:val="22"/>
                <w:lang w:val="es-CO" w:eastAsia="es-CO"/>
              </w:rPr>
              <w:t>100%</w:t>
            </w:r>
          </w:p>
        </w:tc>
      </w:tr>
      <w:tr w:rsidR="00EC4818" w:rsidRPr="00EC4818" w14:paraId="769DF594" w14:textId="77777777" w:rsidTr="008934D8">
        <w:trPr>
          <w:trHeight w:val="8192"/>
        </w:trPr>
        <w:tc>
          <w:tcPr>
            <w:tcW w:w="999" w:type="dxa"/>
            <w:tcBorders>
              <w:top w:val="nil"/>
              <w:left w:val="single" w:sz="12" w:space="0" w:color="auto"/>
              <w:bottom w:val="single" w:sz="12" w:space="0" w:color="auto"/>
              <w:right w:val="single" w:sz="12" w:space="0" w:color="auto"/>
            </w:tcBorders>
            <w:shd w:val="clear" w:color="auto" w:fill="auto"/>
            <w:hideMark/>
          </w:tcPr>
          <w:p w14:paraId="283305D3"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lastRenderedPageBreak/>
              <w:t>4.20 de la sentencia del Consejo de Estado de 28 de marzo de 2014.</w:t>
            </w:r>
          </w:p>
        </w:tc>
        <w:tc>
          <w:tcPr>
            <w:tcW w:w="2263" w:type="dxa"/>
            <w:gridSpan w:val="2"/>
            <w:tcBorders>
              <w:top w:val="nil"/>
              <w:left w:val="nil"/>
              <w:bottom w:val="single" w:sz="12" w:space="0" w:color="auto"/>
              <w:right w:val="single" w:sz="12" w:space="0" w:color="auto"/>
            </w:tcBorders>
            <w:shd w:val="clear" w:color="auto" w:fill="auto"/>
            <w:hideMark/>
          </w:tcPr>
          <w:p w14:paraId="48733B08"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t>ORDÉNASE al Distrito Capital y a los entes territoriales aferentes al Río Bogotá, que en el término perentorio e improrrogable de veinticuatro (24) meses contados a partir de la ejecutoria de esta sentencia, realicen, revisen y/o ajusten los Planes Maestros de Acueducto y Alcantarillado –PMAA de manera que se intercepten todos los vertimientos directos a cuerpos de agua y éstos sean conducidos a la planta de tratamiento de aguas residuales correspondiente. Los Planes Maestros de Acueducto y Alcantarillado – PMAA deberán incluir los planes de rehabilitación de redes.</w:t>
            </w:r>
            <w:r w:rsidRPr="00EC4818">
              <w:rPr>
                <w:rFonts w:ascii="Arial" w:eastAsia="Times New Roman" w:hAnsi="Arial" w:cs="Arial"/>
                <w:color w:val="000000"/>
                <w:sz w:val="16"/>
                <w:szCs w:val="16"/>
                <w:lang w:val="es-CO" w:eastAsia="es-CO"/>
              </w:rPr>
              <w:br/>
            </w:r>
            <w:r w:rsidRPr="00EC4818">
              <w:rPr>
                <w:rFonts w:ascii="Arial" w:eastAsia="Times New Roman" w:hAnsi="Arial" w:cs="Arial"/>
                <w:color w:val="000000"/>
                <w:sz w:val="16"/>
                <w:szCs w:val="16"/>
                <w:lang w:val="es-CO" w:eastAsia="es-CO"/>
              </w:rPr>
              <w:br/>
              <w:t>Dichos entes deberán reportar semestralmente al Consejo Estratégico de la Cuenca Hidrográfica - CECH – y posteriormente a la Gerencia Estratégica de la Cuenca Hidrográfica del Río Bogotá – GECH - las actividades que realicen.</w:t>
            </w:r>
          </w:p>
        </w:tc>
        <w:tc>
          <w:tcPr>
            <w:tcW w:w="1990" w:type="dxa"/>
            <w:gridSpan w:val="2"/>
            <w:tcBorders>
              <w:top w:val="nil"/>
              <w:left w:val="nil"/>
              <w:bottom w:val="single" w:sz="12" w:space="0" w:color="auto"/>
              <w:right w:val="single" w:sz="12" w:space="0" w:color="auto"/>
            </w:tcBorders>
            <w:shd w:val="clear" w:color="auto" w:fill="auto"/>
            <w:hideMark/>
          </w:tcPr>
          <w:p w14:paraId="07AC7169" w14:textId="77777777" w:rsidR="00EC4818" w:rsidRPr="00EC4818" w:rsidRDefault="00EC4818" w:rsidP="008934D8">
            <w:pPr>
              <w:ind w:left="57" w:right="57"/>
              <w:jc w:val="both"/>
              <w:rPr>
                <w:rFonts w:ascii="Arial" w:eastAsia="Times New Roman" w:hAnsi="Arial" w:cs="Arial"/>
                <w:color w:val="000000"/>
                <w:sz w:val="16"/>
                <w:szCs w:val="16"/>
                <w:lang w:val="es-CO" w:eastAsia="es-CO"/>
              </w:rPr>
            </w:pPr>
            <w:r w:rsidRPr="00EC4818">
              <w:rPr>
                <w:rFonts w:ascii="Arial" w:eastAsia="Times New Roman" w:hAnsi="Arial" w:cs="Arial"/>
                <w:color w:val="000000"/>
                <w:sz w:val="16"/>
                <w:szCs w:val="16"/>
                <w:lang w:val="es-CO" w:eastAsia="es-CO"/>
              </w:rPr>
              <w:t>Empresa de Acueducto y Alcantarillado de Bogotá, Aseo EAAB -E.S.P. y Secretaría Distrital de Planeación.</w:t>
            </w:r>
          </w:p>
        </w:tc>
        <w:tc>
          <w:tcPr>
            <w:tcW w:w="9673" w:type="dxa"/>
            <w:gridSpan w:val="2"/>
            <w:tcBorders>
              <w:top w:val="nil"/>
              <w:left w:val="nil"/>
              <w:bottom w:val="single" w:sz="12" w:space="0" w:color="auto"/>
              <w:right w:val="single" w:sz="12" w:space="0" w:color="auto"/>
            </w:tcBorders>
            <w:shd w:val="clear" w:color="auto" w:fill="auto"/>
            <w:noWrap/>
            <w:hideMark/>
          </w:tcPr>
          <w:p w14:paraId="71D5C556" w14:textId="77777777" w:rsidR="00B11233" w:rsidRPr="00B11233" w:rsidRDefault="00B11233" w:rsidP="008934D8">
            <w:pPr>
              <w:ind w:left="57" w:right="57"/>
              <w:jc w:val="both"/>
              <w:rPr>
                <w:rFonts w:ascii="Arial" w:eastAsia="Times New Roman" w:hAnsi="Arial" w:cs="Arial"/>
                <w:color w:val="000000"/>
                <w:sz w:val="16"/>
                <w:szCs w:val="16"/>
                <w:lang w:val="es-CO" w:eastAsia="es-CO"/>
              </w:rPr>
            </w:pPr>
            <w:r w:rsidRPr="00B11233">
              <w:rPr>
                <w:rFonts w:ascii="Arial" w:eastAsia="Times New Roman" w:hAnsi="Arial" w:cs="Arial"/>
                <w:color w:val="000000"/>
                <w:sz w:val="16"/>
                <w:szCs w:val="16"/>
                <w:lang w:val="es-ES" w:eastAsia="es-CO"/>
              </w:rPr>
              <w:t>Sobre la orden 4.20, es necesario tener en cuenta que existen acciones de responsabilidad asignadas a la Empresa de Acueducto y Alcantarillado de Bogotá - EAAB, asociadas a las intervenciones para el saneamiento ambiental del Río Bogotá; es así que la EAAB, tiene un Plan de Obras e Intervenciones, que contiene las políticas, estrategias, metas, inversiones y priorización de proyectos para el abastecimiento de acueducto y prestación del servicio de alcantarillado de Bogotá, el cual fue presentado ante el Concejo de Bogotá y adoptado mediante Acuerdo  680 de 2017. Actualmente, se está ejecutando dicho Plan y el EAAB presenta semestralmente al Concejo el informe de ejecución.</w:t>
            </w:r>
          </w:p>
          <w:p w14:paraId="310063F1" w14:textId="77777777" w:rsidR="00B11233" w:rsidRPr="00B11233" w:rsidRDefault="00B11233" w:rsidP="008934D8">
            <w:pPr>
              <w:ind w:left="57" w:right="57"/>
              <w:jc w:val="both"/>
              <w:rPr>
                <w:rFonts w:ascii="Arial" w:eastAsia="Times New Roman" w:hAnsi="Arial" w:cs="Arial"/>
                <w:color w:val="000000"/>
                <w:sz w:val="16"/>
                <w:szCs w:val="16"/>
                <w:lang w:val="es-CO" w:eastAsia="es-CO"/>
              </w:rPr>
            </w:pPr>
          </w:p>
          <w:p w14:paraId="7706D8A8" w14:textId="479DE46A" w:rsidR="00B11233" w:rsidRPr="00B11233" w:rsidRDefault="00B11233" w:rsidP="008934D8">
            <w:pPr>
              <w:ind w:left="57" w:right="57"/>
              <w:jc w:val="both"/>
              <w:rPr>
                <w:rFonts w:ascii="Arial" w:eastAsia="Times New Roman" w:hAnsi="Arial" w:cs="Arial"/>
                <w:color w:val="000000"/>
                <w:sz w:val="16"/>
                <w:szCs w:val="16"/>
                <w:lang w:val="es-CO" w:eastAsia="es-CO"/>
              </w:rPr>
            </w:pPr>
            <w:r w:rsidRPr="00B11233">
              <w:rPr>
                <w:rFonts w:ascii="Arial" w:eastAsia="Times New Roman" w:hAnsi="Arial" w:cs="Arial"/>
                <w:color w:val="000000"/>
                <w:sz w:val="16"/>
                <w:szCs w:val="16"/>
                <w:lang w:val="es-ES" w:eastAsia="es-CO"/>
              </w:rPr>
              <w:t>Ahora bien, sobre la responsabilidad de la Secretaría Distrital de Planeación en relación con este punto de la decisión judicial, conviene señalar que</w:t>
            </w:r>
            <w:r>
              <w:rPr>
                <w:rFonts w:ascii="Arial" w:eastAsia="Times New Roman" w:hAnsi="Arial" w:cs="Arial"/>
                <w:color w:val="000000"/>
                <w:sz w:val="16"/>
                <w:szCs w:val="16"/>
                <w:lang w:val="es-ES" w:eastAsia="es-CO"/>
              </w:rPr>
              <w:t xml:space="preserve"> las mismas se cumplieron con la expedición d</w:t>
            </w:r>
            <w:r w:rsidRPr="00B11233">
              <w:rPr>
                <w:rFonts w:ascii="Arial" w:eastAsia="Times New Roman" w:hAnsi="Arial" w:cs="Arial"/>
                <w:color w:val="000000"/>
                <w:sz w:val="16"/>
                <w:szCs w:val="16"/>
                <w:lang w:val="es-ES" w:eastAsia="es-CO"/>
              </w:rPr>
              <w:t xml:space="preserve">el Decreto Distrital 555 de 2021, </w:t>
            </w:r>
            <w:r>
              <w:rPr>
                <w:rFonts w:ascii="Arial" w:eastAsia="Times New Roman" w:hAnsi="Arial" w:cs="Arial"/>
                <w:color w:val="000000"/>
                <w:sz w:val="16"/>
                <w:szCs w:val="16"/>
                <w:lang w:val="es-ES" w:eastAsia="es-CO"/>
              </w:rPr>
              <w:t xml:space="preserve">normativa que </w:t>
            </w:r>
            <w:r w:rsidRPr="00B11233">
              <w:rPr>
                <w:rFonts w:ascii="Arial" w:eastAsia="Times New Roman" w:hAnsi="Arial" w:cs="Arial"/>
                <w:color w:val="000000"/>
                <w:sz w:val="16"/>
                <w:szCs w:val="16"/>
                <w:lang w:val="es-ES" w:eastAsia="es-CO"/>
              </w:rPr>
              <w:t>en su artículo 488 estableció la formulación del Plan Maestro del Hábitat y Servicios Públicos determinando que esta acción corresponde a la Secretaría Distrital Hábitat, principalmente, en coordinación con las empresas públicas de servicios públicos. La norma en comento señala:</w:t>
            </w:r>
          </w:p>
          <w:p w14:paraId="5CB2A981" w14:textId="77777777" w:rsidR="00B11233" w:rsidRPr="00B11233" w:rsidRDefault="00B11233" w:rsidP="008934D8">
            <w:pPr>
              <w:ind w:left="57" w:right="57"/>
              <w:jc w:val="both"/>
              <w:rPr>
                <w:rFonts w:ascii="Arial" w:eastAsia="Times New Roman" w:hAnsi="Arial" w:cs="Arial"/>
                <w:color w:val="000000"/>
                <w:sz w:val="16"/>
                <w:szCs w:val="16"/>
                <w:lang w:val="es-ES" w:eastAsia="es-CO"/>
              </w:rPr>
            </w:pPr>
          </w:p>
          <w:p w14:paraId="4D1D9919"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bCs/>
                <w:i/>
                <w:color w:val="000000"/>
                <w:sz w:val="16"/>
                <w:szCs w:val="16"/>
                <w:lang w:val="es-ES" w:eastAsia="es-CO"/>
              </w:rPr>
              <w:t>“</w:t>
            </w:r>
            <w:r w:rsidRPr="00B11233">
              <w:rPr>
                <w:rFonts w:ascii="Arial" w:eastAsia="Times New Roman" w:hAnsi="Arial" w:cs="Arial"/>
                <w:b/>
                <w:bCs/>
                <w:i/>
                <w:color w:val="000000"/>
                <w:sz w:val="16"/>
                <w:szCs w:val="16"/>
                <w:lang w:val="es-ES" w:eastAsia="es-CO"/>
              </w:rPr>
              <w:t>Artículo 488.Plan del Hábitat y Servicios Públicos - PHSP. </w:t>
            </w:r>
            <w:r w:rsidRPr="00B11233">
              <w:rPr>
                <w:rFonts w:ascii="Arial" w:eastAsia="Times New Roman" w:hAnsi="Arial" w:cs="Arial"/>
                <w:i/>
                <w:color w:val="000000"/>
                <w:sz w:val="16"/>
                <w:szCs w:val="16"/>
                <w:lang w:val="es-ES" w:eastAsia="es-CO"/>
              </w:rPr>
              <w:t>Es el instrumento mediante el cual se concretan las políticas, objetivos, estrategias, metas y proyectos en materia de hábitat urbano y rural, gestión integral territorial, sostenibilidad de los servicios públicos y generación de soluciones habitacionales del ordenamiento territorial definido en el presente Plan.</w:t>
            </w:r>
          </w:p>
          <w:p w14:paraId="038728C1"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73333154"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El objetivo principal de este plan es la coordinación e implementación de los instrumentos de financiación, planeación y las políticas públicas de gestión integral del hábitat, de servicios públicos y gestión integral de residuos sólidos para asegurar la cualificación oportuna del hábitat - urbano y rural para lograr el equilibrio entre la producción de viviendas, la producción de empleos y calidad en la prestación de los servicios públicos, del cuidado y sociales.</w:t>
            </w:r>
          </w:p>
          <w:p w14:paraId="0DF84CB8"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09A3E339"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Este Plan determinará como mínimo:</w:t>
            </w:r>
          </w:p>
          <w:p w14:paraId="6F50B3E8"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0612BFF3"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1.Las acciones para reducir el déficit de soluciones habitacionales y mejorar la prestación de servicios públicos.</w:t>
            </w:r>
          </w:p>
          <w:p w14:paraId="185A79B6"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61FC09F1"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2.La definición de criterios para la priorización de proyectos e intervenciones.</w:t>
            </w:r>
          </w:p>
          <w:p w14:paraId="1D163FB0"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7996144E"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3.La definición de acciones para la inclusión productiva y la consolidación de tejido económico en los barrios populares.</w:t>
            </w:r>
          </w:p>
          <w:p w14:paraId="0D95FE95"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4E54528D"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4.Los instrumentos y mecanismos de gestión y financiación aplicables para los proyectos y programas que defina.</w:t>
            </w:r>
          </w:p>
          <w:p w14:paraId="13EFBC73"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6F1D375B"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5.La calificación y localización del suelo para generación de vivienda de interés social y prioritario.</w:t>
            </w:r>
          </w:p>
          <w:p w14:paraId="4EE18502"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3CB88DBF"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6.La definición e implementación de diferentes alternativas para la producción de soluciones habitacionales, tales como oferta nueva, lotes con servicios, reúso de edificaciones, vivienda en alquiler, vivienda de interés cultural, vivienda productiva y progresiva.</w:t>
            </w:r>
          </w:p>
          <w:p w14:paraId="0F22A112"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3E89EA5C"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7.Los lineamientos para la articulación de los Planes de Inversión de los Sistemas de Servicios Públicos en concordancia con las prioridades del presente Plan.</w:t>
            </w:r>
          </w:p>
          <w:p w14:paraId="4BF09573"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67A2484C"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8.Las normas generales para la generación, mantenimiento, recuperación, aprovechamiento económico y gestión de servicios públicos.</w:t>
            </w:r>
          </w:p>
          <w:p w14:paraId="57BC7E8C"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754FB31F"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9.La articulación con las políticas públicas de gestión integral del hábitat, de servicios públicos y de gestión integral de residuos sólidos.</w:t>
            </w:r>
          </w:p>
          <w:p w14:paraId="0D97AC8B"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0EC302C7"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lastRenderedPageBreak/>
              <w:t>10.La determinación de los mecanismos de seguimiento, monitoreo, evaluación y responsables y, en general los medios para verificar su avance y cumplimiento.</w:t>
            </w:r>
          </w:p>
          <w:p w14:paraId="6A4E3B32"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5641E220"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11.Las condiciones para su articulación con el Sistema del Cuidado y Servicios Sociales.</w:t>
            </w:r>
          </w:p>
          <w:p w14:paraId="388CD438"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0DB64615"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12.Las condiciones para su modificación y revisión.</w:t>
            </w:r>
          </w:p>
          <w:p w14:paraId="24AB5006"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i/>
                <w:color w:val="000000"/>
                <w:sz w:val="16"/>
                <w:szCs w:val="16"/>
                <w:lang w:val="es-ES" w:eastAsia="es-CO"/>
              </w:rPr>
              <w:t> </w:t>
            </w:r>
          </w:p>
          <w:p w14:paraId="5B29B917" w14:textId="77777777" w:rsidR="00B11233" w:rsidRPr="00B11233" w:rsidRDefault="00B11233" w:rsidP="008934D8">
            <w:pPr>
              <w:ind w:left="57" w:right="57"/>
              <w:jc w:val="both"/>
              <w:rPr>
                <w:rFonts w:ascii="Arial" w:eastAsia="Times New Roman" w:hAnsi="Arial" w:cs="Arial"/>
                <w:i/>
                <w:color w:val="000000"/>
                <w:sz w:val="16"/>
                <w:szCs w:val="16"/>
                <w:lang w:val="es-CO" w:eastAsia="es-CO"/>
              </w:rPr>
            </w:pPr>
            <w:r w:rsidRPr="00B11233">
              <w:rPr>
                <w:rFonts w:ascii="Arial" w:eastAsia="Times New Roman" w:hAnsi="Arial" w:cs="Arial"/>
                <w:b/>
                <w:bCs/>
                <w:i/>
                <w:color w:val="000000"/>
                <w:sz w:val="16"/>
                <w:szCs w:val="16"/>
                <w:lang w:val="es-ES" w:eastAsia="es-CO"/>
              </w:rPr>
              <w:t>Parágrafo.</w:t>
            </w:r>
            <w:r w:rsidRPr="00B11233">
              <w:rPr>
                <w:rFonts w:ascii="Arial" w:eastAsia="Times New Roman" w:hAnsi="Arial" w:cs="Arial"/>
                <w:i/>
                <w:color w:val="000000"/>
                <w:sz w:val="16"/>
                <w:szCs w:val="16"/>
                <w:lang w:val="es-ES" w:eastAsia="es-CO"/>
              </w:rPr>
              <w:t> El Plan será formulado por la Secretaría Distrital del Hábitat, en coordinación con las entidades distritales y empresas de servicios públicos formularán en el respectivo Plan, dentro de los doce (12) meses siguientes a la entrada en vigencia del presente Plan.”</w:t>
            </w:r>
          </w:p>
          <w:p w14:paraId="6AAE890F" w14:textId="77777777" w:rsidR="00B11233" w:rsidRPr="00B11233" w:rsidRDefault="00B11233" w:rsidP="008934D8">
            <w:pPr>
              <w:ind w:left="57" w:right="57"/>
              <w:jc w:val="both"/>
              <w:rPr>
                <w:rFonts w:ascii="Arial" w:eastAsia="Times New Roman" w:hAnsi="Arial" w:cs="Arial"/>
                <w:color w:val="000000"/>
                <w:sz w:val="16"/>
                <w:szCs w:val="16"/>
                <w:lang w:val="es-ES" w:eastAsia="es-CO"/>
              </w:rPr>
            </w:pPr>
          </w:p>
          <w:p w14:paraId="44CCFF42" w14:textId="77777777" w:rsidR="00B11233" w:rsidRPr="00B11233" w:rsidRDefault="00B11233" w:rsidP="008934D8">
            <w:pPr>
              <w:ind w:left="57" w:right="57"/>
              <w:jc w:val="both"/>
              <w:rPr>
                <w:rFonts w:ascii="Arial" w:eastAsia="Times New Roman" w:hAnsi="Arial" w:cs="Arial"/>
                <w:color w:val="000000"/>
                <w:sz w:val="16"/>
                <w:szCs w:val="16"/>
                <w:lang w:val="es-ES" w:eastAsia="es-CO"/>
              </w:rPr>
            </w:pPr>
            <w:r w:rsidRPr="00B11233">
              <w:rPr>
                <w:rFonts w:ascii="Arial" w:eastAsia="Times New Roman" w:hAnsi="Arial" w:cs="Arial"/>
                <w:color w:val="000000"/>
                <w:sz w:val="16"/>
                <w:szCs w:val="16"/>
                <w:lang w:val="es-ES" w:eastAsia="es-CO"/>
              </w:rPr>
              <w:t>Actualmente, la Secretaría Distrital de Hábitat está avanzando en la formulación del Plan Maestro de Hábitat y Servicios Públicos.</w:t>
            </w:r>
          </w:p>
          <w:p w14:paraId="65764577" w14:textId="77777777" w:rsidR="00EC4818" w:rsidRDefault="00EC4818" w:rsidP="008934D8">
            <w:pPr>
              <w:ind w:left="57" w:right="57"/>
              <w:jc w:val="both"/>
              <w:rPr>
                <w:rFonts w:ascii="Calibri" w:eastAsia="Times New Roman" w:hAnsi="Calibri" w:cs="Times New Roman"/>
                <w:color w:val="000000"/>
                <w:sz w:val="22"/>
                <w:szCs w:val="22"/>
                <w:lang w:val="es-CO" w:eastAsia="es-CO"/>
              </w:rPr>
            </w:pPr>
          </w:p>
          <w:p w14:paraId="7D8771E7" w14:textId="179AC838" w:rsidR="00B11233" w:rsidRPr="00EC4818" w:rsidRDefault="00B11233" w:rsidP="008934D8">
            <w:pPr>
              <w:ind w:left="57" w:right="57"/>
              <w:jc w:val="both"/>
              <w:rPr>
                <w:rFonts w:ascii="Calibri" w:eastAsia="Times New Roman" w:hAnsi="Calibri" w:cs="Times New Roman"/>
                <w:color w:val="000000"/>
                <w:sz w:val="22"/>
                <w:szCs w:val="22"/>
                <w:lang w:val="es-CO" w:eastAsia="es-CO"/>
              </w:rPr>
            </w:pPr>
            <w:r>
              <w:rPr>
                <w:rFonts w:ascii="Arial" w:eastAsia="Arial" w:hAnsi="Arial" w:cs="Arial"/>
                <w:sz w:val="16"/>
                <w:szCs w:val="16"/>
              </w:rPr>
              <w:t xml:space="preserve">Estado de Cumplimiento: </w:t>
            </w:r>
            <w:r>
              <w:rPr>
                <w:rFonts w:ascii="Arial" w:eastAsia="Arial" w:hAnsi="Arial" w:cs="Arial"/>
                <w:b/>
                <w:sz w:val="16"/>
                <w:szCs w:val="16"/>
              </w:rPr>
              <w:t>CUMPLIDA</w:t>
            </w:r>
          </w:p>
        </w:tc>
        <w:tc>
          <w:tcPr>
            <w:tcW w:w="2264" w:type="dxa"/>
            <w:gridSpan w:val="2"/>
            <w:tcBorders>
              <w:top w:val="nil"/>
              <w:left w:val="nil"/>
              <w:bottom w:val="single" w:sz="12" w:space="0" w:color="auto"/>
              <w:right w:val="single" w:sz="12" w:space="0" w:color="auto"/>
            </w:tcBorders>
            <w:shd w:val="clear" w:color="auto" w:fill="auto"/>
            <w:noWrap/>
            <w:hideMark/>
          </w:tcPr>
          <w:p w14:paraId="5029A3ED" w14:textId="311FDE0B" w:rsidR="00EC4818" w:rsidRPr="00EC4818" w:rsidRDefault="008241C0" w:rsidP="008934D8">
            <w:pPr>
              <w:ind w:left="57" w:right="57"/>
              <w:jc w:val="both"/>
              <w:rPr>
                <w:rFonts w:ascii="Calibri" w:eastAsia="Times New Roman" w:hAnsi="Calibri" w:cs="Times New Roman"/>
                <w:color w:val="000000"/>
                <w:sz w:val="22"/>
                <w:szCs w:val="22"/>
                <w:lang w:val="es-CO" w:eastAsia="es-CO"/>
              </w:rPr>
            </w:pPr>
            <w:r w:rsidRPr="008241C0">
              <w:rPr>
                <w:rFonts w:ascii="Arial" w:eastAsia="Times New Roman" w:hAnsi="Arial" w:cs="Arial"/>
                <w:color w:val="000000"/>
                <w:sz w:val="16"/>
                <w:szCs w:val="16"/>
                <w:lang w:val="es-CO" w:eastAsia="es-CO"/>
              </w:rPr>
              <w:lastRenderedPageBreak/>
              <w:t>El cumplimiento de la orden 4.</w:t>
            </w:r>
            <w:r>
              <w:rPr>
                <w:rFonts w:ascii="Arial" w:eastAsia="Times New Roman" w:hAnsi="Arial" w:cs="Arial"/>
                <w:color w:val="000000"/>
                <w:sz w:val="16"/>
                <w:szCs w:val="16"/>
                <w:lang w:val="es-CO" w:eastAsia="es-CO"/>
              </w:rPr>
              <w:t>20</w:t>
            </w:r>
            <w:r w:rsidRPr="008241C0">
              <w:rPr>
                <w:rFonts w:ascii="Arial" w:eastAsia="Times New Roman" w:hAnsi="Arial" w:cs="Arial"/>
                <w:color w:val="000000"/>
                <w:sz w:val="16"/>
                <w:szCs w:val="16"/>
                <w:lang w:val="es-CO" w:eastAsia="es-CO"/>
              </w:rPr>
              <w:t>, a través de la expedición del Decreto Distrital 555 de 2021</w:t>
            </w:r>
            <w:r w:rsidRPr="008241C0">
              <w:rPr>
                <w:rFonts w:ascii="Arial" w:eastAsia="Times New Roman" w:hAnsi="Arial" w:cs="Arial"/>
                <w:iCs/>
                <w:color w:val="000000"/>
                <w:sz w:val="16"/>
                <w:szCs w:val="16"/>
                <w:lang w:eastAsia="es-CO"/>
              </w:rPr>
              <w:t>, no implicó la inversión específica de recursos para ello o de rubros especiales para el cumplimiento de la sentencia por parte de la SDP. El cumplimiento de la orden se realizó con el presupuesto propio y de funcionamiento, en el marco de revisión ordinaria del POT.</w:t>
            </w:r>
          </w:p>
        </w:tc>
        <w:tc>
          <w:tcPr>
            <w:tcW w:w="1412" w:type="dxa"/>
            <w:gridSpan w:val="2"/>
            <w:tcBorders>
              <w:top w:val="nil"/>
              <w:left w:val="nil"/>
              <w:bottom w:val="single" w:sz="12" w:space="0" w:color="auto"/>
              <w:right w:val="single" w:sz="12" w:space="0" w:color="auto"/>
            </w:tcBorders>
            <w:shd w:val="clear" w:color="auto" w:fill="auto"/>
            <w:noWrap/>
            <w:hideMark/>
          </w:tcPr>
          <w:p w14:paraId="6882A26C" w14:textId="77777777" w:rsidR="00EC4818" w:rsidRPr="00EC4818" w:rsidRDefault="00EC4818" w:rsidP="008934D8">
            <w:pPr>
              <w:ind w:left="57" w:right="57"/>
              <w:jc w:val="center"/>
              <w:rPr>
                <w:rFonts w:ascii="Arial" w:eastAsia="Times New Roman" w:hAnsi="Arial" w:cs="Arial"/>
                <w:color w:val="000000"/>
                <w:sz w:val="22"/>
                <w:szCs w:val="22"/>
                <w:lang w:val="es-CO" w:eastAsia="es-CO"/>
              </w:rPr>
            </w:pPr>
            <w:r w:rsidRPr="00EC4818">
              <w:rPr>
                <w:rFonts w:ascii="Arial" w:eastAsia="Times New Roman" w:hAnsi="Arial" w:cs="Arial"/>
                <w:color w:val="000000"/>
                <w:sz w:val="22"/>
                <w:szCs w:val="22"/>
                <w:lang w:val="es-CO" w:eastAsia="es-CO"/>
              </w:rPr>
              <w:t>100%</w:t>
            </w:r>
          </w:p>
        </w:tc>
      </w:tr>
    </w:tbl>
    <w:p w14:paraId="1A15E18E" w14:textId="4382FD35" w:rsidR="00EC4818" w:rsidRDefault="00EC4818" w:rsidP="008934D8">
      <w:pPr>
        <w:jc w:val="both"/>
        <w:rPr>
          <w:rFonts w:ascii="Times New Roman" w:hAnsi="Times New Roman"/>
          <w:lang w:eastAsia="es-CO"/>
        </w:rPr>
      </w:pPr>
    </w:p>
    <w:sectPr w:rsidR="00EC4818" w:rsidSect="00EC4818">
      <w:headerReference w:type="even" r:id="rId12"/>
      <w:headerReference w:type="default" r:id="rId13"/>
      <w:footerReference w:type="default" r:id="rId14"/>
      <w:pgSz w:w="20160" w:h="12240" w:orient="landscape" w:code="5"/>
      <w:pgMar w:top="1701" w:right="1701" w:bottom="1701" w:left="1417" w:header="708" w:footer="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C3F87C" w14:textId="77777777" w:rsidR="00AA2C1E" w:rsidRDefault="00AA2C1E" w:rsidP="0072396B">
      <w:r>
        <w:separator/>
      </w:r>
    </w:p>
  </w:endnote>
  <w:endnote w:type="continuationSeparator" w:id="0">
    <w:p w14:paraId="2F827693" w14:textId="77777777" w:rsidR="00AA2C1E" w:rsidRDefault="00AA2C1E" w:rsidP="007239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18409D" w14:textId="5127D2D1" w:rsidR="00E053BD" w:rsidRDefault="00E053BD" w:rsidP="00841FE2">
    <w:pPr>
      <w:pStyle w:val="Piedepgina"/>
      <w:jc w:val="right"/>
      <w:rPr>
        <w:rFonts w:ascii="Arial" w:hAnsi="Arial"/>
        <w:sz w:val="16"/>
        <w:szCs w:val="16"/>
      </w:rPr>
    </w:pPr>
    <w:r w:rsidRPr="00AD494A">
      <w:rPr>
        <w:rFonts w:ascii="Times New Roman" w:hAnsi="Times New Roman"/>
        <w:sz w:val="22"/>
        <w:szCs w:val="22"/>
      </w:rPr>
      <w:t xml:space="preserve">Página </w:t>
    </w:r>
    <w:r w:rsidRPr="00AD494A">
      <w:rPr>
        <w:rFonts w:ascii="Times New Roman" w:hAnsi="Times New Roman"/>
        <w:sz w:val="22"/>
        <w:szCs w:val="22"/>
      </w:rPr>
      <w:fldChar w:fldCharType="begin"/>
    </w:r>
    <w:r w:rsidRPr="00AD494A">
      <w:rPr>
        <w:rFonts w:ascii="Times New Roman" w:hAnsi="Times New Roman"/>
        <w:sz w:val="22"/>
        <w:szCs w:val="22"/>
      </w:rPr>
      <w:instrText xml:space="preserve"> PAGE   \* MERGEFORMAT </w:instrText>
    </w:r>
    <w:r w:rsidRPr="00AD494A">
      <w:rPr>
        <w:rFonts w:ascii="Times New Roman" w:hAnsi="Times New Roman"/>
        <w:sz w:val="22"/>
        <w:szCs w:val="22"/>
      </w:rPr>
      <w:fldChar w:fldCharType="separate"/>
    </w:r>
    <w:r w:rsidR="008934D8">
      <w:rPr>
        <w:rFonts w:ascii="Times New Roman" w:hAnsi="Times New Roman"/>
        <w:noProof/>
        <w:sz w:val="22"/>
        <w:szCs w:val="22"/>
      </w:rPr>
      <w:t>9</w:t>
    </w:r>
    <w:r w:rsidRPr="00AD494A">
      <w:rPr>
        <w:rFonts w:ascii="Times New Roman" w:hAnsi="Times New Roman"/>
        <w:sz w:val="22"/>
        <w:szCs w:val="22"/>
      </w:rPr>
      <w:fldChar w:fldCharType="end"/>
    </w:r>
  </w:p>
  <w:p w14:paraId="45B50FF4" w14:textId="297021D1" w:rsidR="00E053BD" w:rsidRDefault="00E053BD" w:rsidP="009F53A8">
    <w:pPr>
      <w:pStyle w:val="Piedepgina"/>
      <w:tabs>
        <w:tab w:val="clear" w:pos="4252"/>
        <w:tab w:val="center" w:pos="4111"/>
      </w:tabs>
      <w:rPr>
        <w:rFonts w:ascii="Arial" w:hAnsi="Arial"/>
        <w:sz w:val="16"/>
        <w:szCs w:val="16"/>
      </w:rPr>
    </w:pPr>
    <w:r>
      <w:rPr>
        <w:rFonts w:ascii="Arial" w:hAnsi="Arial"/>
        <w:noProof/>
        <w:sz w:val="16"/>
        <w:szCs w:val="16"/>
        <w:lang w:val="es-CO" w:eastAsia="es-CO"/>
      </w:rPr>
      <w:drawing>
        <wp:anchor distT="0" distB="0" distL="114300" distR="114300" simplePos="0" relativeHeight="251661312" behindDoc="0" locked="0" layoutInCell="1" allowOverlap="1" wp14:anchorId="17D2E4EB" wp14:editId="7A1474E4">
          <wp:simplePos x="0" y="0"/>
          <wp:positionH relativeFrom="column">
            <wp:posOffset>1828800</wp:posOffset>
          </wp:positionH>
          <wp:positionV relativeFrom="paragraph">
            <wp:posOffset>102235</wp:posOffset>
          </wp:positionV>
          <wp:extent cx="604520" cy="812800"/>
          <wp:effectExtent l="0" t="0" r="5080" b="0"/>
          <wp:wrapTight wrapText="bothSides">
            <wp:wrapPolygon edited="0">
              <wp:start x="1815" y="0"/>
              <wp:lineTo x="0" y="10125"/>
              <wp:lineTo x="1815" y="20925"/>
              <wp:lineTo x="19059" y="20925"/>
              <wp:lineTo x="20874" y="10125"/>
              <wp:lineTo x="19059" y="0"/>
              <wp:lineTo x="1815" y="0"/>
            </wp:wrapPolygon>
          </wp:wrapTight>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lo-ICONTEC_ISO-9001_BN.png"/>
                  <pic:cNvPicPr/>
                </pic:nvPicPr>
                <pic:blipFill>
                  <a:blip r:embed="rId1">
                    <a:extLst>
                      <a:ext uri="{28A0092B-C50C-407E-A947-70E740481C1C}">
                        <a14:useLocalDpi xmlns:a14="http://schemas.microsoft.com/office/drawing/2010/main" val="0"/>
                      </a:ext>
                    </a:extLst>
                  </a:blip>
                  <a:stretch>
                    <a:fillRect/>
                  </a:stretch>
                </pic:blipFill>
                <pic:spPr>
                  <a:xfrm>
                    <a:off x="0" y="0"/>
                    <a:ext cx="604520" cy="812800"/>
                  </a:xfrm>
                  <a:prstGeom prst="rect">
                    <a:avLst/>
                  </a:prstGeom>
                </pic:spPr>
              </pic:pic>
            </a:graphicData>
          </a:graphic>
          <wp14:sizeRelH relativeFrom="page">
            <wp14:pctWidth>0</wp14:pctWidth>
          </wp14:sizeRelH>
          <wp14:sizeRelV relativeFrom="page">
            <wp14:pctHeight>0</wp14:pctHeight>
          </wp14:sizeRelV>
        </wp:anchor>
      </w:drawing>
    </w:r>
    <w:r w:rsidRPr="00232E3F">
      <w:rPr>
        <w:rFonts w:ascii="Arial" w:hAnsi="Arial"/>
        <w:noProof/>
        <w:sz w:val="16"/>
        <w:szCs w:val="16"/>
        <w:lang w:val="es-CO" w:eastAsia="es-CO"/>
      </w:rPr>
      <w:drawing>
        <wp:anchor distT="0" distB="0" distL="114300" distR="114300" simplePos="0" relativeHeight="251659264" behindDoc="0" locked="0" layoutInCell="1" allowOverlap="1" wp14:anchorId="159A5B40" wp14:editId="00E26712">
          <wp:simplePos x="0" y="0"/>
          <wp:positionH relativeFrom="column">
            <wp:posOffset>5143500</wp:posOffset>
          </wp:positionH>
          <wp:positionV relativeFrom="paragraph">
            <wp:posOffset>108585</wp:posOffset>
          </wp:positionV>
          <wp:extent cx="800100" cy="792480"/>
          <wp:effectExtent l="0" t="0" r="12700" b="0"/>
          <wp:wrapThrough wrapText="bothSides">
            <wp:wrapPolygon edited="0">
              <wp:start x="2743" y="0"/>
              <wp:lineTo x="2743" y="11077"/>
              <wp:lineTo x="0" y="15923"/>
              <wp:lineTo x="0" y="20769"/>
              <wp:lineTo x="21257" y="20769"/>
              <wp:lineTo x="21257" y="15923"/>
              <wp:lineTo x="18514" y="11077"/>
              <wp:lineTo x="18514" y="0"/>
              <wp:lineTo x="2743" y="0"/>
            </wp:wrapPolygon>
          </wp:wrapThrough>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udo.png"/>
                  <pic:cNvPicPr/>
                </pic:nvPicPr>
                <pic:blipFill>
                  <a:blip r:embed="rId2">
                    <a:extLst>
                      <a:ext uri="{28A0092B-C50C-407E-A947-70E740481C1C}">
                        <a14:useLocalDpi xmlns:a14="http://schemas.microsoft.com/office/drawing/2010/main" val="0"/>
                      </a:ext>
                    </a:extLst>
                  </a:blip>
                  <a:stretch>
                    <a:fillRect/>
                  </a:stretch>
                </pic:blipFill>
                <pic:spPr>
                  <a:xfrm>
                    <a:off x="0" y="0"/>
                    <a:ext cx="800100" cy="79248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noProof/>
        <w:sz w:val="16"/>
        <w:szCs w:val="16"/>
        <w:lang w:val="es-CO" w:eastAsia="es-CO"/>
      </w:rPr>
      <mc:AlternateContent>
        <mc:Choice Requires="wps">
          <w:drawing>
            <wp:anchor distT="0" distB="0" distL="114300" distR="114300" simplePos="0" relativeHeight="251662336" behindDoc="0" locked="0" layoutInCell="1" allowOverlap="1" wp14:anchorId="1152F64A" wp14:editId="6C79C7D1">
              <wp:simplePos x="0" y="0"/>
              <wp:positionH relativeFrom="column">
                <wp:posOffset>1714500</wp:posOffset>
              </wp:positionH>
              <wp:positionV relativeFrom="paragraph">
                <wp:posOffset>108585</wp:posOffset>
              </wp:positionV>
              <wp:extent cx="0" cy="800100"/>
              <wp:effectExtent l="0" t="0" r="25400" b="12700"/>
              <wp:wrapNone/>
              <wp:docPr id="4" name="Conector recto 4"/>
              <wp:cNvGraphicFramePr/>
              <a:graphic xmlns:a="http://schemas.openxmlformats.org/drawingml/2006/main">
                <a:graphicData uri="http://schemas.microsoft.com/office/word/2010/wordprocessingShape">
                  <wps:wsp>
                    <wps:cNvCnPr/>
                    <wps:spPr>
                      <a:xfrm>
                        <a:off x="0" y="0"/>
                        <a:ext cx="0" cy="800100"/>
                      </a:xfrm>
                      <a:prstGeom prst="line">
                        <a:avLst/>
                      </a:prstGeom>
                      <a:ln w="15875">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0F351ACA" id="Conector recto 4" o:spid="_x0000_s1026" style="position:absolute;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5pt,8.55pt" to="135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" strokecolor="black [3213]" strokeweight="1.25pt"/>
          </w:pict>
        </mc:Fallback>
      </mc:AlternateContent>
    </w:r>
  </w:p>
  <w:p w14:paraId="1EB2B791" w14:textId="4DCE2A90" w:rsidR="00E053BD" w:rsidRPr="00980AB3" w:rsidRDefault="00E053BD" w:rsidP="00232E3F">
    <w:pPr>
      <w:pStyle w:val="Piedepgina"/>
      <w:rPr>
        <w:rFonts w:ascii="Arial" w:hAnsi="Arial"/>
        <w:b/>
        <w:sz w:val="16"/>
        <w:szCs w:val="16"/>
      </w:rPr>
    </w:pPr>
    <w:r>
      <w:rPr>
        <w:rFonts w:ascii="Arial" w:hAnsi="Arial"/>
        <w:noProof/>
        <w:sz w:val="16"/>
        <w:szCs w:val="16"/>
        <w:lang w:val="es-CO" w:eastAsia="es-CO"/>
      </w:rPr>
      <w:drawing>
        <wp:anchor distT="0" distB="0" distL="114300" distR="114300" simplePos="0" relativeHeight="251660288" behindDoc="1" locked="0" layoutInCell="1" allowOverlap="1" wp14:anchorId="56727115" wp14:editId="1F7E4DAA">
          <wp:simplePos x="0" y="0"/>
          <wp:positionH relativeFrom="column">
            <wp:posOffset>2558415</wp:posOffset>
          </wp:positionH>
          <wp:positionV relativeFrom="paragraph">
            <wp:posOffset>8890</wp:posOffset>
          </wp:positionV>
          <wp:extent cx="806450" cy="806450"/>
          <wp:effectExtent l="0" t="0" r="0"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IQNet_BN.png"/>
                  <pic:cNvPicPr/>
                </pic:nvPicPr>
                <pic:blipFill>
                  <a:blip r:embed="rId3">
                    <a:extLst>
                      <a:ext uri="{28A0092B-C50C-407E-A947-70E740481C1C}">
                        <a14:useLocalDpi xmlns:a14="http://schemas.microsoft.com/office/drawing/2010/main" val="0"/>
                      </a:ext>
                    </a:extLst>
                  </a:blip>
                  <a:stretch>
                    <a:fillRect/>
                  </a:stretch>
                </pic:blipFill>
                <pic:spPr>
                  <a:xfrm>
                    <a:off x="0" y="0"/>
                    <a:ext cx="806450" cy="806450"/>
                  </a:xfrm>
                  <a:prstGeom prst="rect">
                    <a:avLst/>
                  </a:prstGeom>
                </pic:spPr>
              </pic:pic>
            </a:graphicData>
          </a:graphic>
          <wp14:sizeRelH relativeFrom="page">
            <wp14:pctWidth>0</wp14:pctWidth>
          </wp14:sizeRelH>
          <wp14:sizeRelV relativeFrom="page">
            <wp14:pctHeight>0</wp14:pctHeight>
          </wp14:sizeRelV>
        </wp:anchor>
      </w:drawing>
    </w:r>
    <w:r w:rsidRPr="00980AB3">
      <w:rPr>
        <w:rFonts w:ascii="Arial" w:hAnsi="Arial"/>
        <w:b/>
        <w:sz w:val="16"/>
        <w:szCs w:val="16"/>
      </w:rPr>
      <w:t xml:space="preserve">Cra. 30 Nº 25 -90 </w:t>
    </w:r>
  </w:p>
  <w:p w14:paraId="65D2C4A9" w14:textId="625886B1" w:rsidR="00E053BD" w:rsidRDefault="00E053BD" w:rsidP="00232E3F">
    <w:pPr>
      <w:pStyle w:val="Piedepgina"/>
      <w:rPr>
        <w:rFonts w:ascii="Arial" w:hAnsi="Arial"/>
        <w:sz w:val="16"/>
        <w:szCs w:val="16"/>
      </w:rPr>
    </w:pPr>
    <w:r w:rsidRPr="00232E3F">
      <w:rPr>
        <w:rFonts w:ascii="Arial" w:hAnsi="Arial"/>
        <w:sz w:val="16"/>
        <w:szCs w:val="16"/>
      </w:rPr>
      <w:t>pisos 5, 8,13 / SuperCade piso 2</w:t>
    </w:r>
  </w:p>
  <w:p w14:paraId="493903FA" w14:textId="61CF7AC8" w:rsidR="00E053BD" w:rsidRPr="00232E3F" w:rsidRDefault="00E053BD" w:rsidP="00980AB3">
    <w:pPr>
      <w:pStyle w:val="Piedepgina"/>
      <w:spacing w:line="120" w:lineRule="auto"/>
      <w:rPr>
        <w:rFonts w:ascii="Arial" w:hAnsi="Arial"/>
        <w:sz w:val="16"/>
        <w:szCs w:val="16"/>
      </w:rPr>
    </w:pPr>
    <w:r>
      <w:rPr>
        <w:rFonts w:ascii="Arial" w:hAnsi="Arial"/>
        <w:sz w:val="16"/>
        <w:szCs w:val="16"/>
      </w:rPr>
      <w:tab/>
    </w:r>
    <w:r>
      <w:rPr>
        <w:rFonts w:ascii="Arial" w:hAnsi="Arial"/>
        <w:sz w:val="16"/>
        <w:szCs w:val="16"/>
      </w:rPr>
      <w:tab/>
    </w:r>
  </w:p>
  <w:p w14:paraId="2B5A608B" w14:textId="77777777" w:rsidR="00E053BD" w:rsidRPr="00980AB3" w:rsidRDefault="00E053BD" w:rsidP="00232E3F">
    <w:pPr>
      <w:pStyle w:val="Piedepgina"/>
      <w:rPr>
        <w:rFonts w:ascii="Arial" w:hAnsi="Arial"/>
        <w:b/>
        <w:sz w:val="16"/>
        <w:szCs w:val="16"/>
      </w:rPr>
    </w:pPr>
    <w:r w:rsidRPr="00980AB3">
      <w:rPr>
        <w:rFonts w:ascii="Arial" w:hAnsi="Arial"/>
        <w:b/>
        <w:sz w:val="16"/>
        <w:szCs w:val="16"/>
      </w:rPr>
      <w:t>PBX: 335 8000</w:t>
    </w:r>
  </w:p>
  <w:p w14:paraId="45367C5A" w14:textId="7FD903D4" w:rsidR="00E053BD" w:rsidRPr="00980AB3" w:rsidRDefault="00E053BD" w:rsidP="00232E3F">
    <w:pPr>
      <w:pStyle w:val="Piedepgina"/>
      <w:rPr>
        <w:rFonts w:ascii="Arial" w:hAnsi="Arial"/>
        <w:b/>
        <w:sz w:val="16"/>
        <w:szCs w:val="16"/>
      </w:rPr>
    </w:pPr>
    <w:r w:rsidRPr="00980AB3">
      <w:rPr>
        <w:rFonts w:ascii="Arial" w:hAnsi="Arial"/>
        <w:b/>
        <w:sz w:val="16"/>
        <w:szCs w:val="16"/>
      </w:rPr>
      <w:t>www.sdp.gov.co</w:t>
    </w:r>
    <w:r w:rsidRPr="00980AB3">
      <w:rPr>
        <w:rFonts w:ascii="Arial" w:hAnsi="Arial"/>
        <w:b/>
        <w:sz w:val="16"/>
        <w:szCs w:val="16"/>
      </w:rPr>
      <w:softHyphen/>
    </w:r>
  </w:p>
  <w:p w14:paraId="564D69F4" w14:textId="77777777" w:rsidR="00E053BD" w:rsidRPr="00232E3F" w:rsidRDefault="00E053BD" w:rsidP="00232E3F">
    <w:pPr>
      <w:pStyle w:val="Piedepgina"/>
      <w:rPr>
        <w:rFonts w:ascii="Arial" w:hAnsi="Arial"/>
        <w:sz w:val="16"/>
        <w:szCs w:val="16"/>
      </w:rPr>
    </w:pPr>
  </w:p>
  <w:p w14:paraId="05F49159" w14:textId="72E686A3" w:rsidR="00E053BD" w:rsidRPr="00980AB3" w:rsidRDefault="00E053BD" w:rsidP="00232E3F">
    <w:pPr>
      <w:pStyle w:val="Piedepgina"/>
      <w:rPr>
        <w:rFonts w:ascii="Arial" w:hAnsi="Arial"/>
        <w:b/>
        <w:sz w:val="16"/>
        <w:szCs w:val="16"/>
      </w:rPr>
    </w:pPr>
    <w:r w:rsidRPr="00980AB3">
      <w:rPr>
        <w:rFonts w:ascii="Arial" w:hAnsi="Arial"/>
        <w:b/>
        <w:sz w:val="16"/>
        <w:szCs w:val="16"/>
      </w:rPr>
      <w:t>Código Postal: 1113111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F5F046" w14:textId="77777777" w:rsidR="00AA2C1E" w:rsidRDefault="00AA2C1E" w:rsidP="0072396B">
      <w:r>
        <w:separator/>
      </w:r>
    </w:p>
  </w:footnote>
  <w:footnote w:type="continuationSeparator" w:id="0">
    <w:p w14:paraId="54D2D132" w14:textId="77777777" w:rsidR="00AA2C1E" w:rsidRDefault="00AA2C1E" w:rsidP="007239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A70DC" w14:textId="77777777" w:rsidR="00E053BD" w:rsidRDefault="00000000">
    <w:pPr>
      <w:pStyle w:val="Encabezado"/>
    </w:pPr>
    <w:sdt>
      <w:sdtPr>
        <w:id w:val="1501540457"/>
        <w:placeholder>
          <w:docPart w:val="B5EB6A483BD35443962B0AF7E0907400"/>
        </w:placeholder>
        <w:temporary/>
        <w:showingPlcHdr/>
      </w:sdtPr>
      <w:sdtContent>
        <w:r w:rsidR="00E053BD">
          <w:rPr>
            <w:lang w:val="es-ES"/>
          </w:rPr>
          <w:t>[Escriba texto]</w:t>
        </w:r>
      </w:sdtContent>
    </w:sdt>
    <w:r w:rsidR="00E053BD">
      <w:ptab w:relativeTo="margin" w:alignment="center" w:leader="none"/>
    </w:r>
    <w:sdt>
      <w:sdtPr>
        <w:id w:val="396332729"/>
        <w:placeholder>
          <w:docPart w:val="BC4D4BDDE6D1D740A5EDAD827517875F"/>
        </w:placeholder>
        <w:temporary/>
        <w:showingPlcHdr/>
      </w:sdtPr>
      <w:sdtContent>
        <w:r w:rsidR="00E053BD">
          <w:rPr>
            <w:lang w:val="es-ES"/>
          </w:rPr>
          <w:t>[Escriba texto]</w:t>
        </w:r>
      </w:sdtContent>
    </w:sdt>
    <w:r w:rsidR="00E053BD">
      <w:ptab w:relativeTo="margin" w:alignment="right" w:leader="none"/>
    </w:r>
    <w:sdt>
      <w:sdtPr>
        <w:id w:val="-1677182727"/>
        <w:placeholder>
          <w:docPart w:val="718978966E1EAB4F83F378AD347E9A25"/>
        </w:placeholder>
        <w:temporary/>
        <w:showingPlcHdr/>
      </w:sdtPr>
      <w:sdtContent>
        <w:r w:rsidR="00E053BD">
          <w:rPr>
            <w:lang w:val="es-ES"/>
          </w:rPr>
          <w:t>[Escriba texto]</w:t>
        </w:r>
      </w:sdtContent>
    </w:sdt>
  </w:p>
  <w:p w14:paraId="0A88593A" w14:textId="77777777" w:rsidR="00E053BD" w:rsidRDefault="00E053B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E9F21" w14:textId="77777777" w:rsidR="00E053BD" w:rsidRDefault="00E053BD">
    <w:pPr>
      <w:pStyle w:val="Encabezado"/>
    </w:pPr>
    <w:r>
      <w:rPr>
        <w:noProof/>
        <w:lang w:val="es-CO" w:eastAsia="es-CO"/>
      </w:rPr>
      <w:drawing>
        <wp:anchor distT="0" distB="0" distL="114300" distR="114300" simplePos="0" relativeHeight="251658240" behindDoc="0" locked="0" layoutInCell="1" allowOverlap="1" wp14:anchorId="56D9E034" wp14:editId="7F7B1ECD">
          <wp:simplePos x="0" y="0"/>
          <wp:positionH relativeFrom="column">
            <wp:posOffset>1714500</wp:posOffset>
          </wp:positionH>
          <wp:positionV relativeFrom="paragraph">
            <wp:posOffset>-85725</wp:posOffset>
          </wp:positionV>
          <wp:extent cx="2203450" cy="535940"/>
          <wp:effectExtent l="0" t="0" r="6350" b="0"/>
          <wp:wrapThrough wrapText="bothSides">
            <wp:wrapPolygon edited="0">
              <wp:start x="8217" y="0"/>
              <wp:lineTo x="0" y="10237"/>
              <wp:lineTo x="0" y="19450"/>
              <wp:lineTo x="8964" y="20474"/>
              <wp:lineTo x="11703" y="20474"/>
              <wp:lineTo x="21413" y="19450"/>
              <wp:lineTo x="21413" y="9213"/>
              <wp:lineTo x="11703" y="0"/>
              <wp:lineTo x="8217" y="0"/>
            </wp:wrapPolygon>
          </wp:wrapThrough>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ncabezado.png"/>
                  <pic:cNvPicPr/>
                </pic:nvPicPr>
                <pic:blipFill>
                  <a:blip r:embed="rId1">
                    <a:extLst>
                      <a:ext uri="{28A0092B-C50C-407E-A947-70E740481C1C}">
                        <a14:useLocalDpi xmlns:a14="http://schemas.microsoft.com/office/drawing/2010/main" val="0"/>
                      </a:ext>
                    </a:extLst>
                  </a:blip>
                  <a:stretch>
                    <a:fillRect/>
                  </a:stretch>
                </pic:blipFill>
                <pic:spPr>
                  <a:xfrm>
                    <a:off x="0" y="0"/>
                    <a:ext cx="2203450" cy="53594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BF69285"/>
    <w:multiLevelType w:val="multilevel"/>
    <w:tmpl w:val="49081670"/>
    <w:lvl w:ilvl="0">
      <w:start w:val="2"/>
      <w:numFmt w:val="decimal"/>
      <w:lvlText w:val="%1."/>
      <w:lvlJc w:val="left"/>
      <w:pPr>
        <w:tabs>
          <w:tab w:val="num" w:pos="0"/>
        </w:tabs>
        <w:ind w:left="480" w:hanging="480"/>
      </w:pPr>
    </w:lvl>
    <w:lvl w:ilvl="1">
      <w:start w:val="2"/>
      <w:numFmt w:val="decimal"/>
      <w:lvlText w:val="%2."/>
      <w:lvlJc w:val="left"/>
      <w:pPr>
        <w:tabs>
          <w:tab w:val="num" w:pos="720"/>
        </w:tabs>
        <w:ind w:left="1200" w:hanging="480"/>
      </w:pPr>
    </w:lvl>
    <w:lvl w:ilvl="2">
      <w:start w:val="2"/>
      <w:numFmt w:val="decimal"/>
      <w:lvlText w:val="%3."/>
      <w:lvlJc w:val="left"/>
      <w:pPr>
        <w:tabs>
          <w:tab w:val="num" w:pos="1440"/>
        </w:tabs>
        <w:ind w:left="1920" w:hanging="480"/>
      </w:pPr>
    </w:lvl>
    <w:lvl w:ilvl="3">
      <w:start w:val="2"/>
      <w:numFmt w:val="decimal"/>
      <w:lvlText w:val="%4."/>
      <w:lvlJc w:val="left"/>
      <w:pPr>
        <w:tabs>
          <w:tab w:val="num" w:pos="2160"/>
        </w:tabs>
        <w:ind w:left="2640" w:hanging="480"/>
      </w:pPr>
    </w:lvl>
    <w:lvl w:ilvl="4">
      <w:start w:val="2"/>
      <w:numFmt w:val="decimal"/>
      <w:lvlText w:val="%5."/>
      <w:lvlJc w:val="left"/>
      <w:pPr>
        <w:tabs>
          <w:tab w:val="num" w:pos="2880"/>
        </w:tabs>
        <w:ind w:left="3360" w:hanging="480"/>
      </w:pPr>
    </w:lvl>
    <w:lvl w:ilvl="5">
      <w:start w:val="2"/>
      <w:numFmt w:val="decimal"/>
      <w:lvlText w:val="%6."/>
      <w:lvlJc w:val="left"/>
      <w:pPr>
        <w:tabs>
          <w:tab w:val="num" w:pos="3600"/>
        </w:tabs>
        <w:ind w:left="4080" w:hanging="480"/>
      </w:pPr>
    </w:lvl>
    <w:lvl w:ilvl="6">
      <w:start w:val="2"/>
      <w:numFmt w:val="decimal"/>
      <w:lvlText w:val="%7."/>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06191472"/>
    <w:multiLevelType w:val="hybridMultilevel"/>
    <w:tmpl w:val="F87E8076"/>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6924A9E"/>
    <w:multiLevelType w:val="hybridMultilevel"/>
    <w:tmpl w:val="DE367B00"/>
    <w:lvl w:ilvl="0" w:tplc="240A000F">
      <w:start w:val="1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7B146B9"/>
    <w:multiLevelType w:val="hybridMultilevel"/>
    <w:tmpl w:val="E034BE22"/>
    <w:lvl w:ilvl="0" w:tplc="D36EDF8E">
      <w:start w:val="1"/>
      <w:numFmt w:val="decimal"/>
      <w:lvlText w:val="%1."/>
      <w:lvlJc w:val="left"/>
      <w:pPr>
        <w:ind w:left="720" w:hanging="360"/>
      </w:pPr>
      <w:rPr>
        <w:rFonts w:ascii="Times New Roman" w:eastAsia="Times New Roman" w:hAnsi="Times New Roman" w:cs="Times New Roman"/>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0C9E3650"/>
    <w:multiLevelType w:val="hybridMultilevel"/>
    <w:tmpl w:val="F47E30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E7F4CB3"/>
    <w:multiLevelType w:val="multilevel"/>
    <w:tmpl w:val="62CA752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C633323"/>
    <w:multiLevelType w:val="hybridMultilevel"/>
    <w:tmpl w:val="F8080AE0"/>
    <w:lvl w:ilvl="0" w:tplc="3D9E5922">
      <w:start w:val="5"/>
      <w:numFmt w:val="bullet"/>
      <w:lvlText w:val="-"/>
      <w:lvlJc w:val="left"/>
      <w:pPr>
        <w:ind w:left="720" w:hanging="360"/>
      </w:pPr>
      <w:rPr>
        <w:rFonts w:ascii="Times New Roman" w:eastAsiaTheme="minorEastAsia"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D42269D"/>
    <w:multiLevelType w:val="hybridMultilevel"/>
    <w:tmpl w:val="25AC8AD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FD15AE9"/>
    <w:multiLevelType w:val="hybridMultilevel"/>
    <w:tmpl w:val="AB486A2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34422F4"/>
    <w:multiLevelType w:val="hybridMultilevel"/>
    <w:tmpl w:val="59404B90"/>
    <w:lvl w:ilvl="0" w:tplc="376213C8">
      <w:start w:val="4"/>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F197CE6"/>
    <w:multiLevelType w:val="hybridMultilevel"/>
    <w:tmpl w:val="68F85B8E"/>
    <w:lvl w:ilvl="0" w:tplc="240A000F">
      <w:start w:val="9"/>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F1F769D"/>
    <w:multiLevelType w:val="hybridMultilevel"/>
    <w:tmpl w:val="844A6CCC"/>
    <w:lvl w:ilvl="0" w:tplc="240A0001">
      <w:start w:val="1"/>
      <w:numFmt w:val="bullet"/>
      <w:lvlText w:val=""/>
      <w:lvlJc w:val="left"/>
      <w:pPr>
        <w:ind w:left="1068" w:hanging="360"/>
      </w:pPr>
      <w:rPr>
        <w:rFonts w:ascii="Symbol" w:hAnsi="Symbol"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2" w15:restartNumberingAfterBreak="0">
    <w:nsid w:val="323256B3"/>
    <w:multiLevelType w:val="hybridMultilevel"/>
    <w:tmpl w:val="94CE41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2CE5505"/>
    <w:multiLevelType w:val="hybridMultilevel"/>
    <w:tmpl w:val="2C725672"/>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33C41351"/>
    <w:multiLevelType w:val="hybridMultilevel"/>
    <w:tmpl w:val="8AAC5C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4F54DD1"/>
    <w:multiLevelType w:val="multilevel"/>
    <w:tmpl w:val="BD6ED282"/>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91A4EF2"/>
    <w:multiLevelType w:val="hybridMultilevel"/>
    <w:tmpl w:val="2B50160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3ABF7070"/>
    <w:multiLevelType w:val="multilevel"/>
    <w:tmpl w:val="988E2C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7320A4F"/>
    <w:multiLevelType w:val="hybridMultilevel"/>
    <w:tmpl w:val="3298373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4DF86740"/>
    <w:multiLevelType w:val="hybridMultilevel"/>
    <w:tmpl w:val="01C08C46"/>
    <w:lvl w:ilvl="0" w:tplc="DBC48F74">
      <w:start w:val="1"/>
      <w:numFmt w:val="decimal"/>
      <w:lvlText w:val="%1."/>
      <w:lvlJc w:val="left"/>
      <w:pPr>
        <w:ind w:left="865"/>
      </w:pPr>
      <w:rPr>
        <w:rFonts w:ascii="Times New Roman" w:eastAsiaTheme="minorEastAsia" w:hAnsi="Times New Roman" w:cstheme="minorBidi"/>
        <w:b w:val="0"/>
        <w:i w:val="0"/>
        <w:strike w:val="0"/>
        <w:dstrike w:val="0"/>
        <w:color w:val="000000"/>
        <w:sz w:val="20"/>
        <w:szCs w:val="20"/>
        <w:u w:val="none" w:color="000000"/>
        <w:bdr w:val="none" w:sz="0" w:space="0" w:color="auto"/>
        <w:shd w:val="clear" w:color="auto" w:fill="auto"/>
        <w:vertAlign w:val="baseline"/>
      </w:rPr>
    </w:lvl>
    <w:lvl w:ilvl="1" w:tplc="9564A806">
      <w:start w:val="1"/>
      <w:numFmt w:val="lowerLetter"/>
      <w:lvlText w:val="%2"/>
      <w:lvlJc w:val="left"/>
      <w:pPr>
        <w:ind w:left="19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B7A2220">
      <w:start w:val="1"/>
      <w:numFmt w:val="lowerRoman"/>
      <w:lvlText w:val="%3"/>
      <w:lvlJc w:val="left"/>
      <w:pPr>
        <w:ind w:left="26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DF2C7C6">
      <w:start w:val="1"/>
      <w:numFmt w:val="decimal"/>
      <w:lvlText w:val="%4"/>
      <w:lvlJc w:val="left"/>
      <w:pPr>
        <w:ind w:left="33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BE43E34">
      <w:start w:val="1"/>
      <w:numFmt w:val="lowerLetter"/>
      <w:lvlText w:val="%5"/>
      <w:lvlJc w:val="left"/>
      <w:pPr>
        <w:ind w:left="410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6D0A368">
      <w:start w:val="1"/>
      <w:numFmt w:val="lowerRoman"/>
      <w:lvlText w:val="%6"/>
      <w:lvlJc w:val="left"/>
      <w:pPr>
        <w:ind w:left="482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ECE7C3C">
      <w:start w:val="1"/>
      <w:numFmt w:val="decimal"/>
      <w:lvlText w:val="%7"/>
      <w:lvlJc w:val="left"/>
      <w:pPr>
        <w:ind w:left="554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89644B1A">
      <w:start w:val="1"/>
      <w:numFmt w:val="lowerLetter"/>
      <w:lvlText w:val="%8"/>
      <w:lvlJc w:val="left"/>
      <w:pPr>
        <w:ind w:left="626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0F0B658">
      <w:start w:val="1"/>
      <w:numFmt w:val="lowerRoman"/>
      <w:lvlText w:val="%9"/>
      <w:lvlJc w:val="left"/>
      <w:pPr>
        <w:ind w:left="6989"/>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4ECB0BDC"/>
    <w:multiLevelType w:val="hybridMultilevel"/>
    <w:tmpl w:val="1FAEB1B4"/>
    <w:lvl w:ilvl="0" w:tplc="240A000F">
      <w:start w:val="16"/>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15:restartNumberingAfterBreak="0">
    <w:nsid w:val="50B73B77"/>
    <w:multiLevelType w:val="hybridMultilevel"/>
    <w:tmpl w:val="1302B24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7F81669"/>
    <w:multiLevelType w:val="hybridMultilevel"/>
    <w:tmpl w:val="D3282BB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E8562D8"/>
    <w:multiLevelType w:val="hybridMultilevel"/>
    <w:tmpl w:val="5666E390"/>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0684A08"/>
    <w:multiLevelType w:val="hybridMultilevel"/>
    <w:tmpl w:val="925C71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64FC5AF9"/>
    <w:multiLevelType w:val="hybridMultilevel"/>
    <w:tmpl w:val="AE3267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678F2B1B"/>
    <w:multiLevelType w:val="hybridMultilevel"/>
    <w:tmpl w:val="C88EA29A"/>
    <w:lvl w:ilvl="0" w:tplc="789C56C6">
      <w:start w:val="3"/>
      <w:numFmt w:val="decimal"/>
      <w:lvlText w:val="%1."/>
      <w:lvlJc w:val="left"/>
      <w:pPr>
        <w:ind w:left="6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6634309C">
      <w:start w:val="1"/>
      <w:numFmt w:val="lowerLetter"/>
      <w:lvlText w:val="%2"/>
      <w:lvlJc w:val="left"/>
      <w:pPr>
        <w:ind w:left="114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5A84FE62">
      <w:start w:val="1"/>
      <w:numFmt w:val="lowerRoman"/>
      <w:lvlText w:val="%3"/>
      <w:lvlJc w:val="left"/>
      <w:pPr>
        <w:ind w:left="186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B468663E">
      <w:start w:val="1"/>
      <w:numFmt w:val="decimal"/>
      <w:lvlText w:val="%4"/>
      <w:lvlJc w:val="left"/>
      <w:pPr>
        <w:ind w:left="258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B8C63B9E">
      <w:start w:val="1"/>
      <w:numFmt w:val="lowerLetter"/>
      <w:lvlText w:val="%5"/>
      <w:lvlJc w:val="left"/>
      <w:pPr>
        <w:ind w:left="330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A532EBB4">
      <w:start w:val="1"/>
      <w:numFmt w:val="lowerRoman"/>
      <w:lvlText w:val="%6"/>
      <w:lvlJc w:val="left"/>
      <w:pPr>
        <w:ind w:left="402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EDD4A572">
      <w:start w:val="1"/>
      <w:numFmt w:val="decimal"/>
      <w:lvlText w:val="%7"/>
      <w:lvlJc w:val="left"/>
      <w:pPr>
        <w:ind w:left="474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6E401254">
      <w:start w:val="1"/>
      <w:numFmt w:val="lowerLetter"/>
      <w:lvlText w:val="%8"/>
      <w:lvlJc w:val="left"/>
      <w:pPr>
        <w:ind w:left="546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6220E02C">
      <w:start w:val="1"/>
      <w:numFmt w:val="lowerRoman"/>
      <w:lvlText w:val="%9"/>
      <w:lvlJc w:val="left"/>
      <w:pPr>
        <w:ind w:left="618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27" w15:restartNumberingAfterBreak="0">
    <w:nsid w:val="6F05698C"/>
    <w:multiLevelType w:val="multilevel"/>
    <w:tmpl w:val="FB82517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8" w15:restartNumberingAfterBreak="0">
    <w:nsid w:val="70885963"/>
    <w:multiLevelType w:val="hybridMultilevel"/>
    <w:tmpl w:val="1A105BEC"/>
    <w:lvl w:ilvl="0" w:tplc="240A000F">
      <w:start w:val="24"/>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751C0968"/>
    <w:multiLevelType w:val="multilevel"/>
    <w:tmpl w:val="119CDD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7FE155C"/>
    <w:multiLevelType w:val="hybridMultilevel"/>
    <w:tmpl w:val="7B92F618"/>
    <w:lvl w:ilvl="0" w:tplc="855A7142">
      <w:start w:val="2"/>
      <w:numFmt w:val="decimal"/>
      <w:lvlText w:val="%1."/>
      <w:lvlJc w:val="left"/>
      <w:pPr>
        <w:ind w:left="862"/>
      </w:pPr>
      <w:rPr>
        <w:rFonts w:ascii="Times New Roman" w:eastAsia="Times New Roman" w:hAnsi="Times New Roman" w:cs="Times New Roman"/>
        <w:b/>
        <w:i w:val="0"/>
        <w:strike w:val="0"/>
        <w:dstrike w:val="0"/>
        <w:color w:val="000000"/>
        <w:sz w:val="22"/>
        <w:szCs w:val="22"/>
        <w:u w:val="none" w:color="000000"/>
        <w:bdr w:val="none" w:sz="0" w:space="0" w:color="auto"/>
        <w:shd w:val="clear" w:color="auto" w:fill="auto"/>
        <w:vertAlign w:val="baseline"/>
      </w:rPr>
    </w:lvl>
    <w:lvl w:ilvl="1" w:tplc="AD0E6D28">
      <w:start w:val="1"/>
      <w:numFmt w:val="lowerLetter"/>
      <w:lvlText w:val="%2"/>
      <w:lvlJc w:val="left"/>
      <w:pPr>
        <w:ind w:left="11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FA262EE0">
      <w:start w:val="1"/>
      <w:numFmt w:val="lowerRoman"/>
      <w:lvlText w:val="%3"/>
      <w:lvlJc w:val="left"/>
      <w:pPr>
        <w:ind w:left="18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1626158">
      <w:start w:val="1"/>
      <w:numFmt w:val="decimal"/>
      <w:lvlText w:val="%4"/>
      <w:lvlJc w:val="left"/>
      <w:pPr>
        <w:ind w:left="25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06A2E90">
      <w:start w:val="1"/>
      <w:numFmt w:val="lowerLetter"/>
      <w:lvlText w:val="%5"/>
      <w:lvlJc w:val="left"/>
      <w:pPr>
        <w:ind w:left="33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C0EA7176">
      <w:start w:val="1"/>
      <w:numFmt w:val="lowerRoman"/>
      <w:lvlText w:val="%6"/>
      <w:lvlJc w:val="left"/>
      <w:pPr>
        <w:ind w:left="402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A6C95E0">
      <w:start w:val="1"/>
      <w:numFmt w:val="decimal"/>
      <w:lvlText w:val="%7"/>
      <w:lvlJc w:val="left"/>
      <w:pPr>
        <w:ind w:left="474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189679D4">
      <w:start w:val="1"/>
      <w:numFmt w:val="lowerLetter"/>
      <w:lvlText w:val="%8"/>
      <w:lvlJc w:val="left"/>
      <w:pPr>
        <w:ind w:left="546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D2E9F6C">
      <w:start w:val="1"/>
      <w:numFmt w:val="lowerRoman"/>
      <w:lvlText w:val="%9"/>
      <w:lvlJc w:val="left"/>
      <w:pPr>
        <w:ind w:left="618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7DCD051B"/>
    <w:multiLevelType w:val="hybridMultilevel"/>
    <w:tmpl w:val="1A5A3694"/>
    <w:lvl w:ilvl="0" w:tplc="240A000F">
      <w:start w:val="2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409842273">
    <w:abstractNumId w:val="9"/>
  </w:num>
  <w:num w:numId="2" w16cid:durableId="735082367">
    <w:abstractNumId w:val="13"/>
  </w:num>
  <w:num w:numId="3" w16cid:durableId="1954626496">
    <w:abstractNumId w:val="11"/>
  </w:num>
  <w:num w:numId="4" w16cid:durableId="1672364918">
    <w:abstractNumId w:val="18"/>
  </w:num>
  <w:num w:numId="5" w16cid:durableId="251940029">
    <w:abstractNumId w:val="19"/>
  </w:num>
  <w:num w:numId="6" w16cid:durableId="171116974">
    <w:abstractNumId w:val="30"/>
  </w:num>
  <w:num w:numId="7" w16cid:durableId="1452630202">
    <w:abstractNumId w:val="26"/>
  </w:num>
  <w:num w:numId="8" w16cid:durableId="124279470">
    <w:abstractNumId w:val="3"/>
  </w:num>
  <w:num w:numId="9" w16cid:durableId="1783761100">
    <w:abstractNumId w:val="21"/>
  </w:num>
  <w:num w:numId="10" w16cid:durableId="226649715">
    <w:abstractNumId w:val="0"/>
    <w:lvlOverride w:ilvl="0">
      <w:startOverride w:val="1"/>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num>
  <w:num w:numId="11" w16cid:durableId="1150706805">
    <w:abstractNumId w:val="15"/>
  </w:num>
  <w:num w:numId="12" w16cid:durableId="581990575">
    <w:abstractNumId w:val="4"/>
  </w:num>
  <w:num w:numId="13" w16cid:durableId="1059867037">
    <w:abstractNumId w:val="10"/>
  </w:num>
  <w:num w:numId="14" w16cid:durableId="1921135658">
    <w:abstractNumId w:val="2"/>
  </w:num>
  <w:num w:numId="15" w16cid:durableId="1016005888">
    <w:abstractNumId w:val="20"/>
  </w:num>
  <w:num w:numId="16" w16cid:durableId="1486968661">
    <w:abstractNumId w:val="31"/>
  </w:num>
  <w:num w:numId="17" w16cid:durableId="792987548">
    <w:abstractNumId w:val="28"/>
  </w:num>
  <w:num w:numId="18" w16cid:durableId="924417763">
    <w:abstractNumId w:val="24"/>
  </w:num>
  <w:num w:numId="19" w16cid:durableId="1658000607">
    <w:abstractNumId w:val="25"/>
  </w:num>
  <w:num w:numId="20" w16cid:durableId="32926071">
    <w:abstractNumId w:val="16"/>
  </w:num>
  <w:num w:numId="21" w16cid:durableId="1713773981">
    <w:abstractNumId w:val="27"/>
  </w:num>
  <w:num w:numId="22" w16cid:durableId="800610264">
    <w:abstractNumId w:val="29"/>
  </w:num>
  <w:num w:numId="23" w16cid:durableId="432289349">
    <w:abstractNumId w:val="17"/>
  </w:num>
  <w:num w:numId="24" w16cid:durableId="1447239622">
    <w:abstractNumId w:val="5"/>
  </w:num>
  <w:num w:numId="25" w16cid:durableId="622034766">
    <w:abstractNumId w:val="8"/>
  </w:num>
  <w:num w:numId="26" w16cid:durableId="611479728">
    <w:abstractNumId w:val="6"/>
  </w:num>
  <w:num w:numId="27" w16cid:durableId="1042946654">
    <w:abstractNumId w:val="1"/>
  </w:num>
  <w:num w:numId="28" w16cid:durableId="1328509345">
    <w:abstractNumId w:val="23"/>
  </w:num>
  <w:num w:numId="29" w16cid:durableId="1315600673">
    <w:abstractNumId w:val="14"/>
  </w:num>
  <w:num w:numId="30" w16cid:durableId="1399212242">
    <w:abstractNumId w:val="12"/>
  </w:num>
  <w:num w:numId="31" w16cid:durableId="1645040702">
    <w:abstractNumId w:val="22"/>
  </w:num>
  <w:num w:numId="32" w16cid:durableId="65067309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396B"/>
    <w:rsid w:val="00011713"/>
    <w:rsid w:val="00015D9B"/>
    <w:rsid w:val="00026260"/>
    <w:rsid w:val="0003484D"/>
    <w:rsid w:val="00036C2F"/>
    <w:rsid w:val="00040930"/>
    <w:rsid w:val="00046970"/>
    <w:rsid w:val="00053E8E"/>
    <w:rsid w:val="0005481B"/>
    <w:rsid w:val="00063555"/>
    <w:rsid w:val="00074E0C"/>
    <w:rsid w:val="00080A4E"/>
    <w:rsid w:val="00081D44"/>
    <w:rsid w:val="0008228E"/>
    <w:rsid w:val="000A0A35"/>
    <w:rsid w:val="000A6A02"/>
    <w:rsid w:val="000B5847"/>
    <w:rsid w:val="000C195F"/>
    <w:rsid w:val="000C57B8"/>
    <w:rsid w:val="000D072C"/>
    <w:rsid w:val="000D3F40"/>
    <w:rsid w:val="000D7742"/>
    <w:rsid w:val="000E1F37"/>
    <w:rsid w:val="000E7E32"/>
    <w:rsid w:val="000F5903"/>
    <w:rsid w:val="00104E77"/>
    <w:rsid w:val="00107209"/>
    <w:rsid w:val="00110049"/>
    <w:rsid w:val="00120760"/>
    <w:rsid w:val="00121443"/>
    <w:rsid w:val="00124E9F"/>
    <w:rsid w:val="00141608"/>
    <w:rsid w:val="001422D9"/>
    <w:rsid w:val="001456CF"/>
    <w:rsid w:val="00145E99"/>
    <w:rsid w:val="00152793"/>
    <w:rsid w:val="001534EE"/>
    <w:rsid w:val="001641A8"/>
    <w:rsid w:val="00171D6E"/>
    <w:rsid w:val="00182473"/>
    <w:rsid w:val="0019322A"/>
    <w:rsid w:val="001D0AC2"/>
    <w:rsid w:val="001D4FED"/>
    <w:rsid w:val="001E6764"/>
    <w:rsid w:val="001F08EA"/>
    <w:rsid w:val="00201BB4"/>
    <w:rsid w:val="00202B6B"/>
    <w:rsid w:val="002231EE"/>
    <w:rsid w:val="00230A0D"/>
    <w:rsid w:val="00230AD5"/>
    <w:rsid w:val="00232E3F"/>
    <w:rsid w:val="00234E8F"/>
    <w:rsid w:val="00241B16"/>
    <w:rsid w:val="002515FB"/>
    <w:rsid w:val="0025677F"/>
    <w:rsid w:val="00265326"/>
    <w:rsid w:val="0027642A"/>
    <w:rsid w:val="00285996"/>
    <w:rsid w:val="00293AAB"/>
    <w:rsid w:val="002A50E2"/>
    <w:rsid w:val="002A52BC"/>
    <w:rsid w:val="002B5B6A"/>
    <w:rsid w:val="002B75F1"/>
    <w:rsid w:val="002B77AC"/>
    <w:rsid w:val="002B7E78"/>
    <w:rsid w:val="002C3F9C"/>
    <w:rsid w:val="002C6E99"/>
    <w:rsid w:val="002D675C"/>
    <w:rsid w:val="00300582"/>
    <w:rsid w:val="00310E1C"/>
    <w:rsid w:val="003174C1"/>
    <w:rsid w:val="003260C9"/>
    <w:rsid w:val="0032658E"/>
    <w:rsid w:val="00327CDC"/>
    <w:rsid w:val="003302C9"/>
    <w:rsid w:val="0034020E"/>
    <w:rsid w:val="00390133"/>
    <w:rsid w:val="003A533E"/>
    <w:rsid w:val="003C103D"/>
    <w:rsid w:val="003C531F"/>
    <w:rsid w:val="003D0C60"/>
    <w:rsid w:val="003E2F2A"/>
    <w:rsid w:val="003E48E0"/>
    <w:rsid w:val="003F3876"/>
    <w:rsid w:val="00416D5E"/>
    <w:rsid w:val="00424DAE"/>
    <w:rsid w:val="00430429"/>
    <w:rsid w:val="0043617E"/>
    <w:rsid w:val="00444CA7"/>
    <w:rsid w:val="00445CE6"/>
    <w:rsid w:val="00467B2A"/>
    <w:rsid w:val="00474FB2"/>
    <w:rsid w:val="00490EF1"/>
    <w:rsid w:val="004948E7"/>
    <w:rsid w:val="00496016"/>
    <w:rsid w:val="004A0959"/>
    <w:rsid w:val="004A16C9"/>
    <w:rsid w:val="004B0BEE"/>
    <w:rsid w:val="004C2031"/>
    <w:rsid w:val="004C311C"/>
    <w:rsid w:val="004C3612"/>
    <w:rsid w:val="004E3E59"/>
    <w:rsid w:val="004E4C9E"/>
    <w:rsid w:val="004F2FB0"/>
    <w:rsid w:val="004F7EDC"/>
    <w:rsid w:val="00501CDC"/>
    <w:rsid w:val="00525DDB"/>
    <w:rsid w:val="00526E43"/>
    <w:rsid w:val="005350F9"/>
    <w:rsid w:val="0053681B"/>
    <w:rsid w:val="00557F06"/>
    <w:rsid w:val="00560FCF"/>
    <w:rsid w:val="00566086"/>
    <w:rsid w:val="00570E00"/>
    <w:rsid w:val="00573125"/>
    <w:rsid w:val="005733C2"/>
    <w:rsid w:val="00580135"/>
    <w:rsid w:val="00583339"/>
    <w:rsid w:val="00584708"/>
    <w:rsid w:val="005930F0"/>
    <w:rsid w:val="005C0FD8"/>
    <w:rsid w:val="005C4626"/>
    <w:rsid w:val="005C4C89"/>
    <w:rsid w:val="005C5153"/>
    <w:rsid w:val="005D206C"/>
    <w:rsid w:val="005D48FE"/>
    <w:rsid w:val="005D6E86"/>
    <w:rsid w:val="005E0482"/>
    <w:rsid w:val="005E7879"/>
    <w:rsid w:val="0061068B"/>
    <w:rsid w:val="00611DE3"/>
    <w:rsid w:val="0061261B"/>
    <w:rsid w:val="006352C2"/>
    <w:rsid w:val="00635654"/>
    <w:rsid w:val="00642FAC"/>
    <w:rsid w:val="006444EE"/>
    <w:rsid w:val="0064653C"/>
    <w:rsid w:val="006562F6"/>
    <w:rsid w:val="0066096A"/>
    <w:rsid w:val="00664B1D"/>
    <w:rsid w:val="0067476B"/>
    <w:rsid w:val="00681180"/>
    <w:rsid w:val="006919CC"/>
    <w:rsid w:val="006941F5"/>
    <w:rsid w:val="00694A83"/>
    <w:rsid w:val="006A3FFC"/>
    <w:rsid w:val="006B1E55"/>
    <w:rsid w:val="006B2BCE"/>
    <w:rsid w:val="006D3718"/>
    <w:rsid w:val="006D7540"/>
    <w:rsid w:val="006D77C6"/>
    <w:rsid w:val="006E4A2E"/>
    <w:rsid w:val="006F3A36"/>
    <w:rsid w:val="006F48F1"/>
    <w:rsid w:val="00700A46"/>
    <w:rsid w:val="007058B5"/>
    <w:rsid w:val="0070739C"/>
    <w:rsid w:val="00721441"/>
    <w:rsid w:val="00722797"/>
    <w:rsid w:val="0072396B"/>
    <w:rsid w:val="0072710B"/>
    <w:rsid w:val="00733579"/>
    <w:rsid w:val="007341CA"/>
    <w:rsid w:val="00734C56"/>
    <w:rsid w:val="00734D46"/>
    <w:rsid w:val="00735DBD"/>
    <w:rsid w:val="00740356"/>
    <w:rsid w:val="0074543A"/>
    <w:rsid w:val="007566A6"/>
    <w:rsid w:val="007636A2"/>
    <w:rsid w:val="0076712C"/>
    <w:rsid w:val="00767A39"/>
    <w:rsid w:val="00781374"/>
    <w:rsid w:val="00793E92"/>
    <w:rsid w:val="007B228B"/>
    <w:rsid w:val="007C07AC"/>
    <w:rsid w:val="007C3F0C"/>
    <w:rsid w:val="007C73CF"/>
    <w:rsid w:val="007D3E25"/>
    <w:rsid w:val="007D40DF"/>
    <w:rsid w:val="007E2110"/>
    <w:rsid w:val="007E288C"/>
    <w:rsid w:val="007F640D"/>
    <w:rsid w:val="008040E7"/>
    <w:rsid w:val="00805AF4"/>
    <w:rsid w:val="00812F18"/>
    <w:rsid w:val="00816F6D"/>
    <w:rsid w:val="008234CA"/>
    <w:rsid w:val="008241C0"/>
    <w:rsid w:val="008411BC"/>
    <w:rsid w:val="00841FE2"/>
    <w:rsid w:val="0084769B"/>
    <w:rsid w:val="00863202"/>
    <w:rsid w:val="0086457C"/>
    <w:rsid w:val="008672EE"/>
    <w:rsid w:val="008705CD"/>
    <w:rsid w:val="00873058"/>
    <w:rsid w:val="0087549E"/>
    <w:rsid w:val="00884622"/>
    <w:rsid w:val="008934D8"/>
    <w:rsid w:val="008965CF"/>
    <w:rsid w:val="008A424D"/>
    <w:rsid w:val="008A5B3F"/>
    <w:rsid w:val="008B09F0"/>
    <w:rsid w:val="008C01F1"/>
    <w:rsid w:val="008C6C9B"/>
    <w:rsid w:val="008D729F"/>
    <w:rsid w:val="008E180E"/>
    <w:rsid w:val="008F046C"/>
    <w:rsid w:val="008F7BFE"/>
    <w:rsid w:val="00901B57"/>
    <w:rsid w:val="00905456"/>
    <w:rsid w:val="00907B48"/>
    <w:rsid w:val="00912CB9"/>
    <w:rsid w:val="0091427A"/>
    <w:rsid w:val="009156D5"/>
    <w:rsid w:val="0092330C"/>
    <w:rsid w:val="00923D08"/>
    <w:rsid w:val="00923DE1"/>
    <w:rsid w:val="0093183A"/>
    <w:rsid w:val="00950D4B"/>
    <w:rsid w:val="009520ED"/>
    <w:rsid w:val="009625EB"/>
    <w:rsid w:val="00963822"/>
    <w:rsid w:val="00970420"/>
    <w:rsid w:val="0097210B"/>
    <w:rsid w:val="009721E8"/>
    <w:rsid w:val="00980AB3"/>
    <w:rsid w:val="0098207F"/>
    <w:rsid w:val="00995F2D"/>
    <w:rsid w:val="009A12AA"/>
    <w:rsid w:val="009A349D"/>
    <w:rsid w:val="009A5ECA"/>
    <w:rsid w:val="009B029A"/>
    <w:rsid w:val="009C155B"/>
    <w:rsid w:val="009D003D"/>
    <w:rsid w:val="009D673D"/>
    <w:rsid w:val="009E6083"/>
    <w:rsid w:val="009F53A8"/>
    <w:rsid w:val="00A062BF"/>
    <w:rsid w:val="00A06D59"/>
    <w:rsid w:val="00A22C20"/>
    <w:rsid w:val="00A2650E"/>
    <w:rsid w:val="00A35429"/>
    <w:rsid w:val="00A368D6"/>
    <w:rsid w:val="00A5332B"/>
    <w:rsid w:val="00A5460E"/>
    <w:rsid w:val="00A578FF"/>
    <w:rsid w:val="00A668F5"/>
    <w:rsid w:val="00A67817"/>
    <w:rsid w:val="00A737C4"/>
    <w:rsid w:val="00A74E46"/>
    <w:rsid w:val="00A84B48"/>
    <w:rsid w:val="00A8694A"/>
    <w:rsid w:val="00A87A30"/>
    <w:rsid w:val="00A9101C"/>
    <w:rsid w:val="00A930F4"/>
    <w:rsid w:val="00A9326F"/>
    <w:rsid w:val="00AA2C1E"/>
    <w:rsid w:val="00AA600E"/>
    <w:rsid w:val="00AA7F61"/>
    <w:rsid w:val="00AB1C29"/>
    <w:rsid w:val="00AC23CB"/>
    <w:rsid w:val="00AC37B6"/>
    <w:rsid w:val="00AC76CA"/>
    <w:rsid w:val="00AD06A9"/>
    <w:rsid w:val="00AE0B25"/>
    <w:rsid w:val="00AF174F"/>
    <w:rsid w:val="00AF3809"/>
    <w:rsid w:val="00AF5342"/>
    <w:rsid w:val="00B11233"/>
    <w:rsid w:val="00B1427C"/>
    <w:rsid w:val="00B14B37"/>
    <w:rsid w:val="00B20DF5"/>
    <w:rsid w:val="00B21C2F"/>
    <w:rsid w:val="00B2362B"/>
    <w:rsid w:val="00B27439"/>
    <w:rsid w:val="00B33011"/>
    <w:rsid w:val="00B40892"/>
    <w:rsid w:val="00B41B65"/>
    <w:rsid w:val="00B42CFE"/>
    <w:rsid w:val="00B4349E"/>
    <w:rsid w:val="00B4700C"/>
    <w:rsid w:val="00B6322A"/>
    <w:rsid w:val="00B632F7"/>
    <w:rsid w:val="00B657D2"/>
    <w:rsid w:val="00B820DD"/>
    <w:rsid w:val="00BA3DF1"/>
    <w:rsid w:val="00BA758F"/>
    <w:rsid w:val="00BC513C"/>
    <w:rsid w:val="00BC62CE"/>
    <w:rsid w:val="00BD7FC2"/>
    <w:rsid w:val="00BE555C"/>
    <w:rsid w:val="00BF032B"/>
    <w:rsid w:val="00BF2323"/>
    <w:rsid w:val="00BF72C0"/>
    <w:rsid w:val="00C15D76"/>
    <w:rsid w:val="00C173E6"/>
    <w:rsid w:val="00C25486"/>
    <w:rsid w:val="00C25A63"/>
    <w:rsid w:val="00C35E19"/>
    <w:rsid w:val="00C35ED4"/>
    <w:rsid w:val="00C42505"/>
    <w:rsid w:val="00C42FF7"/>
    <w:rsid w:val="00C55C02"/>
    <w:rsid w:val="00C57027"/>
    <w:rsid w:val="00C62149"/>
    <w:rsid w:val="00C62AD9"/>
    <w:rsid w:val="00C86FB6"/>
    <w:rsid w:val="00C95868"/>
    <w:rsid w:val="00CA5399"/>
    <w:rsid w:val="00CA7898"/>
    <w:rsid w:val="00CB02C4"/>
    <w:rsid w:val="00CB3AE7"/>
    <w:rsid w:val="00CB498C"/>
    <w:rsid w:val="00CB65E9"/>
    <w:rsid w:val="00CF3E5A"/>
    <w:rsid w:val="00D007FD"/>
    <w:rsid w:val="00D01C56"/>
    <w:rsid w:val="00D169A1"/>
    <w:rsid w:val="00D22D2B"/>
    <w:rsid w:val="00D2600D"/>
    <w:rsid w:val="00D324E6"/>
    <w:rsid w:val="00D344D9"/>
    <w:rsid w:val="00D4116C"/>
    <w:rsid w:val="00D422AF"/>
    <w:rsid w:val="00D477A3"/>
    <w:rsid w:val="00D606F2"/>
    <w:rsid w:val="00D62ABF"/>
    <w:rsid w:val="00D77543"/>
    <w:rsid w:val="00D8210B"/>
    <w:rsid w:val="00D842AB"/>
    <w:rsid w:val="00D93D69"/>
    <w:rsid w:val="00D97E85"/>
    <w:rsid w:val="00DA15C7"/>
    <w:rsid w:val="00DD4912"/>
    <w:rsid w:val="00DE5A77"/>
    <w:rsid w:val="00DF156B"/>
    <w:rsid w:val="00DF16B5"/>
    <w:rsid w:val="00E053BD"/>
    <w:rsid w:val="00E27B59"/>
    <w:rsid w:val="00E30CF5"/>
    <w:rsid w:val="00E5191F"/>
    <w:rsid w:val="00E52AD3"/>
    <w:rsid w:val="00E60D7B"/>
    <w:rsid w:val="00E60FA7"/>
    <w:rsid w:val="00E61DC1"/>
    <w:rsid w:val="00E72182"/>
    <w:rsid w:val="00E7361F"/>
    <w:rsid w:val="00E9143B"/>
    <w:rsid w:val="00E96445"/>
    <w:rsid w:val="00EA1032"/>
    <w:rsid w:val="00EA2F53"/>
    <w:rsid w:val="00EB3F10"/>
    <w:rsid w:val="00EB4766"/>
    <w:rsid w:val="00EC40CD"/>
    <w:rsid w:val="00EC4818"/>
    <w:rsid w:val="00EC623B"/>
    <w:rsid w:val="00ED2347"/>
    <w:rsid w:val="00ED5FEF"/>
    <w:rsid w:val="00EE3753"/>
    <w:rsid w:val="00EE3A2F"/>
    <w:rsid w:val="00EF2C1A"/>
    <w:rsid w:val="00EF68D2"/>
    <w:rsid w:val="00F055B7"/>
    <w:rsid w:val="00F06173"/>
    <w:rsid w:val="00F06615"/>
    <w:rsid w:val="00F1051F"/>
    <w:rsid w:val="00F10619"/>
    <w:rsid w:val="00F112F4"/>
    <w:rsid w:val="00F12DEB"/>
    <w:rsid w:val="00F1554C"/>
    <w:rsid w:val="00F24596"/>
    <w:rsid w:val="00F2497C"/>
    <w:rsid w:val="00F2529A"/>
    <w:rsid w:val="00F30814"/>
    <w:rsid w:val="00F335F7"/>
    <w:rsid w:val="00F42F96"/>
    <w:rsid w:val="00F46FEC"/>
    <w:rsid w:val="00F6206F"/>
    <w:rsid w:val="00F644A6"/>
    <w:rsid w:val="00F650CA"/>
    <w:rsid w:val="00F71F18"/>
    <w:rsid w:val="00F730AA"/>
    <w:rsid w:val="00F8701E"/>
    <w:rsid w:val="00F93032"/>
    <w:rsid w:val="00F93EF3"/>
    <w:rsid w:val="00F95F84"/>
    <w:rsid w:val="00FA65E2"/>
    <w:rsid w:val="00FB3201"/>
    <w:rsid w:val="00FD33F9"/>
    <w:rsid w:val="00FD727A"/>
    <w:rsid w:val="00FE28F0"/>
    <w:rsid w:val="00FE65EB"/>
    <w:rsid w:val="00FF0E90"/>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EBC0090"/>
  <w14:defaultImageDpi w14:val="300"/>
  <w15:docId w15:val="{D0BE298D-D33B-4441-A536-EE2424D119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201BB4"/>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semiHidden/>
    <w:unhideWhenUsed/>
    <w:qFormat/>
    <w:rsid w:val="00015D9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B77AC"/>
    <w:pPr>
      <w:keepNext/>
      <w:spacing w:before="240" w:after="60"/>
      <w:jc w:val="both"/>
      <w:outlineLvl w:val="2"/>
    </w:pPr>
    <w:rPr>
      <w:rFonts w:ascii="Arial" w:eastAsia="Times New Roman" w:hAnsi="Arial" w:cs="Arial"/>
      <w:b/>
      <w:bCs/>
      <w:sz w:val="26"/>
      <w:szCs w:val="26"/>
      <w:lang w:val="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2396B"/>
    <w:pPr>
      <w:tabs>
        <w:tab w:val="center" w:pos="4252"/>
        <w:tab w:val="right" w:pos="8504"/>
      </w:tabs>
    </w:pPr>
  </w:style>
  <w:style w:type="character" w:customStyle="1" w:styleId="EncabezadoCar">
    <w:name w:val="Encabezado Car"/>
    <w:basedOn w:val="Fuentedeprrafopredeter"/>
    <w:link w:val="Encabezado"/>
    <w:uiPriority w:val="99"/>
    <w:rsid w:val="0072396B"/>
  </w:style>
  <w:style w:type="paragraph" w:styleId="Piedepgina">
    <w:name w:val="footer"/>
    <w:basedOn w:val="Normal"/>
    <w:link w:val="PiedepginaCar"/>
    <w:uiPriority w:val="99"/>
    <w:unhideWhenUsed/>
    <w:rsid w:val="0072396B"/>
    <w:pPr>
      <w:tabs>
        <w:tab w:val="center" w:pos="4252"/>
        <w:tab w:val="right" w:pos="8504"/>
      </w:tabs>
    </w:pPr>
  </w:style>
  <w:style w:type="character" w:customStyle="1" w:styleId="PiedepginaCar">
    <w:name w:val="Pie de página Car"/>
    <w:basedOn w:val="Fuentedeprrafopredeter"/>
    <w:link w:val="Piedepgina"/>
    <w:uiPriority w:val="99"/>
    <w:rsid w:val="0072396B"/>
  </w:style>
  <w:style w:type="paragraph" w:styleId="Textodeglobo">
    <w:name w:val="Balloon Text"/>
    <w:basedOn w:val="Normal"/>
    <w:link w:val="TextodegloboCar"/>
    <w:uiPriority w:val="99"/>
    <w:semiHidden/>
    <w:unhideWhenUsed/>
    <w:rsid w:val="0072396B"/>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72396B"/>
    <w:rPr>
      <w:rFonts w:ascii="Lucida Grande" w:hAnsi="Lucida Grande" w:cs="Lucida Grande"/>
      <w:sz w:val="18"/>
      <w:szCs w:val="18"/>
    </w:rPr>
  </w:style>
  <w:style w:type="paragraph" w:styleId="Textoindependiente2">
    <w:name w:val="Body Text 2"/>
    <w:basedOn w:val="Normal"/>
    <w:link w:val="Textoindependiente2Car"/>
    <w:rsid w:val="00DF16B5"/>
    <w:pPr>
      <w:spacing w:after="120" w:line="480" w:lineRule="auto"/>
      <w:jc w:val="both"/>
    </w:pPr>
    <w:rPr>
      <w:rFonts w:ascii="Arial" w:eastAsia="Times New Roman" w:hAnsi="Arial" w:cs="Times New Roman"/>
      <w:lang w:val="es-CO" w:eastAsia="es-CO"/>
    </w:rPr>
  </w:style>
  <w:style w:type="character" w:customStyle="1" w:styleId="Textoindependiente2Car">
    <w:name w:val="Texto independiente 2 Car"/>
    <w:basedOn w:val="Fuentedeprrafopredeter"/>
    <w:link w:val="Textoindependiente2"/>
    <w:uiPriority w:val="99"/>
    <w:rsid w:val="00DF16B5"/>
    <w:rPr>
      <w:rFonts w:ascii="Arial" w:eastAsia="Times New Roman" w:hAnsi="Arial" w:cs="Times New Roman"/>
      <w:lang w:val="es-CO" w:eastAsia="es-CO"/>
    </w:rPr>
  </w:style>
  <w:style w:type="paragraph" w:customStyle="1" w:styleId="Textoindependiente21">
    <w:name w:val="Texto independiente 21"/>
    <w:basedOn w:val="Normal"/>
    <w:rsid w:val="00DF16B5"/>
    <w:pPr>
      <w:jc w:val="both"/>
    </w:pPr>
    <w:rPr>
      <w:rFonts w:ascii="Arial" w:eastAsia="Times New Roman" w:hAnsi="Arial" w:cs="Times New Roman"/>
      <w:b/>
      <w:szCs w:val="20"/>
      <w:lang w:val="es-ES"/>
    </w:rPr>
  </w:style>
  <w:style w:type="paragraph" w:styleId="Textosinformato">
    <w:name w:val="Plain Text"/>
    <w:basedOn w:val="Normal"/>
    <w:link w:val="TextosinformatoCar"/>
    <w:rsid w:val="00DF16B5"/>
    <w:pPr>
      <w:jc w:val="both"/>
    </w:pPr>
    <w:rPr>
      <w:rFonts w:ascii="Courier New" w:eastAsia="Times New Roman" w:hAnsi="Courier New" w:cs="Courier New"/>
      <w:sz w:val="20"/>
      <w:szCs w:val="20"/>
      <w:lang w:val="es-CO"/>
    </w:rPr>
  </w:style>
  <w:style w:type="character" w:customStyle="1" w:styleId="TextosinformatoCar">
    <w:name w:val="Texto sin formato Car"/>
    <w:basedOn w:val="Fuentedeprrafopredeter"/>
    <w:link w:val="Textosinformato"/>
    <w:rsid w:val="00DF16B5"/>
    <w:rPr>
      <w:rFonts w:ascii="Courier New" w:eastAsia="Times New Roman" w:hAnsi="Courier New" w:cs="Courier New"/>
      <w:sz w:val="20"/>
      <w:szCs w:val="20"/>
      <w:lang w:val="es-CO"/>
    </w:rPr>
  </w:style>
  <w:style w:type="paragraph" w:styleId="Textonotapie">
    <w:name w:val="footnote text"/>
    <w:aliases w:val="Footnote Text Char Char Char Char Char,Footnote Text Char Char Char Char,Footnote reference,FA Fu,Footnote Text Char Char Char,Footnote Text Char Char Char Char Char Char Char Char,texto de nota al pi,ft,Footnote Text C,C"/>
    <w:basedOn w:val="Normal"/>
    <w:link w:val="TextonotapieCar1"/>
    <w:uiPriority w:val="99"/>
    <w:qFormat/>
    <w:rsid w:val="00DF16B5"/>
    <w:pPr>
      <w:jc w:val="both"/>
    </w:pPr>
    <w:rPr>
      <w:rFonts w:ascii="Arial" w:eastAsia="Times New Roman" w:hAnsi="Arial" w:cs="Times New Roman"/>
      <w:sz w:val="20"/>
      <w:szCs w:val="20"/>
      <w:lang w:val="es-CO"/>
    </w:rPr>
  </w:style>
  <w:style w:type="character" w:customStyle="1" w:styleId="TextonotapieCar">
    <w:name w:val="Texto nota pie Car"/>
    <w:basedOn w:val="Fuentedeprrafopredeter"/>
    <w:uiPriority w:val="99"/>
    <w:semiHidden/>
    <w:rsid w:val="00DF16B5"/>
    <w:rPr>
      <w:sz w:val="20"/>
      <w:szCs w:val="20"/>
    </w:rPr>
  </w:style>
  <w:style w:type="character" w:styleId="Refdenotaalpie">
    <w:name w:val="footnote reference"/>
    <w:aliases w:val="Texto de nota al pie,Ref. de nota al pie 2,Appel note de bas de page,Footnotes refss,Footnote number,referencia nota al pie,BVI fnr,f,4_G,16 Point,Superscript 6 Point,Texto nota al pie,Pie de Página,FC,Texto de nota al pi,Nota de pie"/>
    <w:qFormat/>
    <w:rsid w:val="00DF16B5"/>
    <w:rPr>
      <w:vertAlign w:val="superscript"/>
    </w:rPr>
  </w:style>
  <w:style w:type="character" w:customStyle="1" w:styleId="go">
    <w:name w:val="go"/>
    <w:basedOn w:val="Fuentedeprrafopredeter"/>
    <w:rsid w:val="00DF16B5"/>
  </w:style>
  <w:style w:type="character" w:customStyle="1" w:styleId="TextonotapieCar1">
    <w:name w:val="Texto nota pie Car1"/>
    <w:aliases w:val="Footnote Text Char Char Char Char Char Car,Footnote Text Char Char Char Char Car,Footnote reference Car,FA Fu Car,Footnote Text Char Char Char Car,Footnote Text Char Char Char Char Char Char Char Char Car,texto de nota al pi Car"/>
    <w:link w:val="Textonotapie"/>
    <w:uiPriority w:val="99"/>
    <w:locked/>
    <w:rsid w:val="00DF16B5"/>
    <w:rPr>
      <w:rFonts w:ascii="Arial" w:eastAsia="Times New Roman" w:hAnsi="Arial" w:cs="Times New Roman"/>
      <w:sz w:val="20"/>
      <w:szCs w:val="20"/>
      <w:lang w:val="es-CO"/>
    </w:rPr>
  </w:style>
  <w:style w:type="paragraph" w:styleId="Prrafodelista">
    <w:name w:val="List Paragraph"/>
    <w:aliases w:val="Ha,Resume Title,List1,LISTA,Bullet List,FooterText,numbered,Paragraphe de liste1,lp1,HOJA,Colorful List Accent 1,Colorful List - Accent 111,Bullets,Indice diagramas,List Paragraph,Bolita,Viñeta 2,BOLA,Guión,Titulo 8,BOLADEF,TABLA"/>
    <w:basedOn w:val="Normal"/>
    <w:link w:val="PrrafodelistaCar"/>
    <w:uiPriority w:val="34"/>
    <w:qFormat/>
    <w:rsid w:val="00DF16B5"/>
    <w:pPr>
      <w:ind w:left="708"/>
      <w:jc w:val="both"/>
    </w:pPr>
    <w:rPr>
      <w:rFonts w:ascii="Arial" w:eastAsia="Times New Roman" w:hAnsi="Arial" w:cs="Times New Roman"/>
      <w:szCs w:val="20"/>
      <w:lang w:val="es-CO"/>
    </w:rPr>
  </w:style>
  <w:style w:type="character" w:styleId="Hipervnculo">
    <w:name w:val="Hyperlink"/>
    <w:basedOn w:val="Fuentedeprrafopredeter"/>
    <w:uiPriority w:val="99"/>
    <w:unhideWhenUsed/>
    <w:rsid w:val="00DF16B5"/>
    <w:rPr>
      <w:color w:val="0000FF" w:themeColor="hyperlink"/>
      <w:u w:val="single"/>
    </w:rPr>
  </w:style>
  <w:style w:type="character" w:customStyle="1" w:styleId="Ttulo3Car">
    <w:name w:val="Título 3 Car"/>
    <w:basedOn w:val="Fuentedeprrafopredeter"/>
    <w:link w:val="Ttulo3"/>
    <w:rsid w:val="002B77AC"/>
    <w:rPr>
      <w:rFonts w:ascii="Arial" w:eastAsia="Times New Roman" w:hAnsi="Arial" w:cs="Arial"/>
      <w:b/>
      <w:bCs/>
      <w:sz w:val="26"/>
      <w:szCs w:val="26"/>
      <w:lang w:val="es-CO"/>
    </w:rPr>
  </w:style>
  <w:style w:type="paragraph" w:styleId="Textoindependiente">
    <w:name w:val="Body Text"/>
    <w:basedOn w:val="Normal"/>
    <w:link w:val="TextoindependienteCar"/>
    <w:rsid w:val="002B77AC"/>
    <w:pPr>
      <w:spacing w:after="120"/>
      <w:jc w:val="both"/>
    </w:pPr>
    <w:rPr>
      <w:rFonts w:ascii="Arial" w:eastAsia="Times New Roman" w:hAnsi="Arial" w:cs="Times New Roman"/>
      <w:szCs w:val="20"/>
      <w:lang w:val="es-CO"/>
    </w:rPr>
  </w:style>
  <w:style w:type="character" w:customStyle="1" w:styleId="TextoindependienteCar">
    <w:name w:val="Texto independiente Car"/>
    <w:basedOn w:val="Fuentedeprrafopredeter"/>
    <w:link w:val="Textoindependiente"/>
    <w:rsid w:val="002B77AC"/>
    <w:rPr>
      <w:rFonts w:ascii="Arial" w:eastAsia="Times New Roman" w:hAnsi="Arial" w:cs="Times New Roman"/>
      <w:szCs w:val="20"/>
      <w:lang w:val="es-CO"/>
    </w:rPr>
  </w:style>
  <w:style w:type="paragraph" w:styleId="Descripcin">
    <w:name w:val="caption"/>
    <w:aliases w:val="Epígrafe Car Car Car,Epígrafe Car Car,Epígrafe Car,Car Car Car Car Car,figura,Epigrafe,Epígrafe Car2,Epígrafe Car3,Epígrafe Car4,Epígrafe Car5,Epígrafe Car6,Epígrafe Car7,Epígrafe Car8,Epígrafe Car9,Epígrafe Car11,Epígrafe Car21"/>
    <w:basedOn w:val="Normal"/>
    <w:next w:val="Normal"/>
    <w:uiPriority w:val="35"/>
    <w:unhideWhenUsed/>
    <w:qFormat/>
    <w:rsid w:val="002B77AC"/>
    <w:pPr>
      <w:spacing w:after="200"/>
    </w:pPr>
    <w:rPr>
      <w:rFonts w:ascii="Calibri" w:eastAsia="Calibri" w:hAnsi="Calibri" w:cs="Times New Roman"/>
      <w:b/>
      <w:bCs/>
      <w:color w:val="5B9BD5"/>
      <w:sz w:val="18"/>
      <w:szCs w:val="18"/>
      <w:lang w:val="es-CO" w:eastAsia="en-US"/>
    </w:rPr>
  </w:style>
  <w:style w:type="paragraph" w:customStyle="1" w:styleId="Estilo1">
    <w:name w:val="Estilo1"/>
    <w:basedOn w:val="Normal"/>
    <w:qFormat/>
    <w:rsid w:val="002B77AC"/>
    <w:pPr>
      <w:spacing w:line="240" w:lineRule="exact"/>
      <w:jc w:val="both"/>
    </w:pPr>
    <w:rPr>
      <w:rFonts w:ascii="Arial" w:eastAsia="Times New Roman" w:hAnsi="Arial" w:cs="Times New Roman"/>
      <w:sz w:val="22"/>
      <w:szCs w:val="20"/>
      <w:lang w:val="es-CO"/>
    </w:rPr>
  </w:style>
  <w:style w:type="paragraph" w:customStyle="1" w:styleId="m-8488205523938880901m-7175019231642462765gmail-msoheader">
    <w:name w:val="m_-8488205523938880901m_-7175019231642462765gmail-msoheader"/>
    <w:basedOn w:val="Normal"/>
    <w:rsid w:val="002B77AC"/>
    <w:pPr>
      <w:spacing w:before="100" w:beforeAutospacing="1" w:after="100" w:afterAutospacing="1"/>
    </w:pPr>
    <w:rPr>
      <w:rFonts w:ascii="Times New Roman" w:eastAsia="Times New Roman" w:hAnsi="Times New Roman" w:cs="Times New Roman"/>
      <w:lang w:val="es-CO" w:eastAsia="es-CO"/>
    </w:rPr>
  </w:style>
  <w:style w:type="paragraph" w:styleId="Sinespaciado">
    <w:name w:val="No Spacing"/>
    <w:uiPriority w:val="1"/>
    <w:qFormat/>
    <w:rsid w:val="002B77AC"/>
    <w:rPr>
      <w:rFonts w:ascii="Calibri" w:eastAsia="Calibri" w:hAnsi="Calibri" w:cs="Times New Roman"/>
      <w:sz w:val="22"/>
      <w:szCs w:val="22"/>
      <w:lang w:val="es-CO" w:eastAsia="en-US"/>
    </w:rPr>
  </w:style>
  <w:style w:type="character" w:customStyle="1" w:styleId="Ttulo1Car">
    <w:name w:val="Título 1 Car"/>
    <w:basedOn w:val="Fuentedeprrafopredeter"/>
    <w:link w:val="Ttulo1"/>
    <w:uiPriority w:val="9"/>
    <w:rsid w:val="00201BB4"/>
    <w:rPr>
      <w:rFonts w:asciiTheme="majorHAnsi" w:eastAsiaTheme="majorEastAsia" w:hAnsiTheme="majorHAnsi" w:cstheme="majorBidi"/>
      <w:color w:val="365F91" w:themeColor="accent1" w:themeShade="BF"/>
      <w:sz w:val="32"/>
      <w:szCs w:val="32"/>
    </w:rPr>
  </w:style>
  <w:style w:type="table" w:styleId="Tablaconcuadrcula">
    <w:name w:val="Table Grid"/>
    <w:basedOn w:val="Tablanormal"/>
    <w:uiPriority w:val="39"/>
    <w:rsid w:val="000E7E32"/>
    <w:rPr>
      <w:rFonts w:eastAsiaTheme="minorHAnsi"/>
      <w:sz w:val="22"/>
      <w:szCs w:val="22"/>
      <w:lang w:val="es-CO"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5E7879"/>
    <w:rPr>
      <w:sz w:val="16"/>
      <w:szCs w:val="16"/>
    </w:rPr>
  </w:style>
  <w:style w:type="paragraph" w:styleId="Textocomentario">
    <w:name w:val="annotation text"/>
    <w:basedOn w:val="Normal"/>
    <w:link w:val="TextocomentarioCar"/>
    <w:uiPriority w:val="99"/>
    <w:semiHidden/>
    <w:unhideWhenUsed/>
    <w:rsid w:val="005E7879"/>
    <w:rPr>
      <w:sz w:val="20"/>
      <w:szCs w:val="20"/>
    </w:rPr>
  </w:style>
  <w:style w:type="character" w:customStyle="1" w:styleId="TextocomentarioCar">
    <w:name w:val="Texto comentario Car"/>
    <w:basedOn w:val="Fuentedeprrafopredeter"/>
    <w:link w:val="Textocomentario"/>
    <w:uiPriority w:val="99"/>
    <w:semiHidden/>
    <w:rsid w:val="005E7879"/>
    <w:rPr>
      <w:sz w:val="20"/>
      <w:szCs w:val="20"/>
    </w:rPr>
  </w:style>
  <w:style w:type="paragraph" w:styleId="Asuntodelcomentario">
    <w:name w:val="annotation subject"/>
    <w:basedOn w:val="Textocomentario"/>
    <w:next w:val="Textocomentario"/>
    <w:link w:val="AsuntodelcomentarioCar"/>
    <w:uiPriority w:val="99"/>
    <w:semiHidden/>
    <w:unhideWhenUsed/>
    <w:rsid w:val="005E7879"/>
    <w:rPr>
      <w:b/>
      <w:bCs/>
    </w:rPr>
  </w:style>
  <w:style w:type="character" w:customStyle="1" w:styleId="AsuntodelcomentarioCar">
    <w:name w:val="Asunto del comentario Car"/>
    <w:basedOn w:val="TextocomentarioCar"/>
    <w:link w:val="Asuntodelcomentario"/>
    <w:uiPriority w:val="99"/>
    <w:semiHidden/>
    <w:rsid w:val="005E7879"/>
    <w:rPr>
      <w:b/>
      <w:bCs/>
      <w:sz w:val="20"/>
      <w:szCs w:val="20"/>
    </w:rPr>
  </w:style>
  <w:style w:type="character" w:customStyle="1" w:styleId="Ttulo2Car">
    <w:name w:val="Título 2 Car"/>
    <w:basedOn w:val="Fuentedeprrafopredeter"/>
    <w:link w:val="Ttulo2"/>
    <w:uiPriority w:val="9"/>
    <w:semiHidden/>
    <w:rsid w:val="00015D9B"/>
    <w:rPr>
      <w:rFonts w:asciiTheme="majorHAnsi" w:eastAsiaTheme="majorEastAsia" w:hAnsiTheme="majorHAnsi" w:cstheme="majorBidi"/>
      <w:b/>
      <w:bCs/>
      <w:color w:val="4F81BD" w:themeColor="accent1"/>
      <w:sz w:val="26"/>
      <w:szCs w:val="26"/>
    </w:rPr>
  </w:style>
  <w:style w:type="character" w:styleId="Textoennegrita">
    <w:name w:val="Strong"/>
    <w:basedOn w:val="Fuentedeprrafopredeter"/>
    <w:uiPriority w:val="22"/>
    <w:qFormat/>
    <w:rsid w:val="00F055B7"/>
    <w:rPr>
      <w:b/>
      <w:bCs/>
    </w:rPr>
  </w:style>
  <w:style w:type="character" w:customStyle="1" w:styleId="PrrafodelistaCar">
    <w:name w:val="Párrafo de lista Car"/>
    <w:aliases w:val="Ha Car,Resume Title Car,List1 Car,LISTA Car,Bullet List Car,FooterText Car,numbered Car,Paragraphe de liste1 Car,lp1 Car,HOJA Car,Colorful List Accent 1 Car,Colorful List - Accent 111 Car,Bullets Car,Indice diagramas Car,Bolita Car"/>
    <w:link w:val="Prrafodelista"/>
    <w:uiPriority w:val="34"/>
    <w:qFormat/>
    <w:rsid w:val="0091427A"/>
    <w:rPr>
      <w:rFonts w:ascii="Arial" w:eastAsia="Times New Roman" w:hAnsi="Arial" w:cs="Times New Roman"/>
      <w:szCs w:val="20"/>
      <w:lang w:val="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458298">
      <w:bodyDiv w:val="1"/>
      <w:marLeft w:val="0"/>
      <w:marRight w:val="0"/>
      <w:marTop w:val="0"/>
      <w:marBottom w:val="0"/>
      <w:divBdr>
        <w:top w:val="none" w:sz="0" w:space="0" w:color="auto"/>
        <w:left w:val="none" w:sz="0" w:space="0" w:color="auto"/>
        <w:bottom w:val="none" w:sz="0" w:space="0" w:color="auto"/>
        <w:right w:val="none" w:sz="0" w:space="0" w:color="auto"/>
      </w:divBdr>
    </w:div>
    <w:div w:id="93408550">
      <w:bodyDiv w:val="1"/>
      <w:marLeft w:val="0"/>
      <w:marRight w:val="0"/>
      <w:marTop w:val="0"/>
      <w:marBottom w:val="0"/>
      <w:divBdr>
        <w:top w:val="none" w:sz="0" w:space="0" w:color="auto"/>
        <w:left w:val="none" w:sz="0" w:space="0" w:color="auto"/>
        <w:bottom w:val="none" w:sz="0" w:space="0" w:color="auto"/>
        <w:right w:val="none" w:sz="0" w:space="0" w:color="auto"/>
      </w:divBdr>
    </w:div>
    <w:div w:id="118956595">
      <w:bodyDiv w:val="1"/>
      <w:marLeft w:val="0"/>
      <w:marRight w:val="0"/>
      <w:marTop w:val="0"/>
      <w:marBottom w:val="0"/>
      <w:divBdr>
        <w:top w:val="none" w:sz="0" w:space="0" w:color="auto"/>
        <w:left w:val="none" w:sz="0" w:space="0" w:color="auto"/>
        <w:bottom w:val="none" w:sz="0" w:space="0" w:color="auto"/>
        <w:right w:val="none" w:sz="0" w:space="0" w:color="auto"/>
      </w:divBdr>
    </w:div>
    <w:div w:id="211617723">
      <w:bodyDiv w:val="1"/>
      <w:marLeft w:val="0"/>
      <w:marRight w:val="0"/>
      <w:marTop w:val="0"/>
      <w:marBottom w:val="0"/>
      <w:divBdr>
        <w:top w:val="none" w:sz="0" w:space="0" w:color="auto"/>
        <w:left w:val="none" w:sz="0" w:space="0" w:color="auto"/>
        <w:bottom w:val="none" w:sz="0" w:space="0" w:color="auto"/>
        <w:right w:val="none" w:sz="0" w:space="0" w:color="auto"/>
      </w:divBdr>
      <w:divsChild>
        <w:div w:id="594484245">
          <w:marLeft w:val="0"/>
          <w:marRight w:val="0"/>
          <w:marTop w:val="0"/>
          <w:marBottom w:val="0"/>
          <w:divBdr>
            <w:top w:val="none" w:sz="0" w:space="0" w:color="auto"/>
            <w:left w:val="none" w:sz="0" w:space="0" w:color="auto"/>
            <w:bottom w:val="none" w:sz="0" w:space="0" w:color="auto"/>
            <w:right w:val="none" w:sz="0" w:space="0" w:color="auto"/>
          </w:divBdr>
        </w:div>
        <w:div w:id="1923100873">
          <w:marLeft w:val="0"/>
          <w:marRight w:val="0"/>
          <w:marTop w:val="0"/>
          <w:marBottom w:val="0"/>
          <w:divBdr>
            <w:top w:val="none" w:sz="0" w:space="0" w:color="auto"/>
            <w:left w:val="none" w:sz="0" w:space="0" w:color="auto"/>
            <w:bottom w:val="none" w:sz="0" w:space="0" w:color="auto"/>
            <w:right w:val="none" w:sz="0" w:space="0" w:color="auto"/>
          </w:divBdr>
        </w:div>
        <w:div w:id="1285959752">
          <w:marLeft w:val="0"/>
          <w:marRight w:val="0"/>
          <w:marTop w:val="0"/>
          <w:marBottom w:val="0"/>
          <w:divBdr>
            <w:top w:val="none" w:sz="0" w:space="0" w:color="auto"/>
            <w:left w:val="none" w:sz="0" w:space="0" w:color="auto"/>
            <w:bottom w:val="none" w:sz="0" w:space="0" w:color="auto"/>
            <w:right w:val="none" w:sz="0" w:space="0" w:color="auto"/>
          </w:divBdr>
        </w:div>
        <w:div w:id="1908569677">
          <w:marLeft w:val="0"/>
          <w:marRight w:val="0"/>
          <w:marTop w:val="0"/>
          <w:marBottom w:val="0"/>
          <w:divBdr>
            <w:top w:val="none" w:sz="0" w:space="0" w:color="auto"/>
            <w:left w:val="none" w:sz="0" w:space="0" w:color="auto"/>
            <w:bottom w:val="none" w:sz="0" w:space="0" w:color="auto"/>
            <w:right w:val="none" w:sz="0" w:space="0" w:color="auto"/>
          </w:divBdr>
        </w:div>
      </w:divsChild>
    </w:div>
    <w:div w:id="249511847">
      <w:bodyDiv w:val="1"/>
      <w:marLeft w:val="0"/>
      <w:marRight w:val="0"/>
      <w:marTop w:val="0"/>
      <w:marBottom w:val="0"/>
      <w:divBdr>
        <w:top w:val="none" w:sz="0" w:space="0" w:color="auto"/>
        <w:left w:val="none" w:sz="0" w:space="0" w:color="auto"/>
        <w:bottom w:val="none" w:sz="0" w:space="0" w:color="auto"/>
        <w:right w:val="none" w:sz="0" w:space="0" w:color="auto"/>
      </w:divBdr>
    </w:div>
    <w:div w:id="318004942">
      <w:bodyDiv w:val="1"/>
      <w:marLeft w:val="0"/>
      <w:marRight w:val="0"/>
      <w:marTop w:val="0"/>
      <w:marBottom w:val="0"/>
      <w:divBdr>
        <w:top w:val="none" w:sz="0" w:space="0" w:color="auto"/>
        <w:left w:val="none" w:sz="0" w:space="0" w:color="auto"/>
        <w:bottom w:val="none" w:sz="0" w:space="0" w:color="auto"/>
        <w:right w:val="none" w:sz="0" w:space="0" w:color="auto"/>
      </w:divBdr>
    </w:div>
    <w:div w:id="361059708">
      <w:bodyDiv w:val="1"/>
      <w:marLeft w:val="0"/>
      <w:marRight w:val="0"/>
      <w:marTop w:val="0"/>
      <w:marBottom w:val="0"/>
      <w:divBdr>
        <w:top w:val="none" w:sz="0" w:space="0" w:color="auto"/>
        <w:left w:val="none" w:sz="0" w:space="0" w:color="auto"/>
        <w:bottom w:val="none" w:sz="0" w:space="0" w:color="auto"/>
        <w:right w:val="none" w:sz="0" w:space="0" w:color="auto"/>
      </w:divBdr>
    </w:div>
    <w:div w:id="502745661">
      <w:bodyDiv w:val="1"/>
      <w:marLeft w:val="0"/>
      <w:marRight w:val="0"/>
      <w:marTop w:val="0"/>
      <w:marBottom w:val="0"/>
      <w:divBdr>
        <w:top w:val="none" w:sz="0" w:space="0" w:color="auto"/>
        <w:left w:val="none" w:sz="0" w:space="0" w:color="auto"/>
        <w:bottom w:val="none" w:sz="0" w:space="0" w:color="auto"/>
        <w:right w:val="none" w:sz="0" w:space="0" w:color="auto"/>
      </w:divBdr>
    </w:div>
    <w:div w:id="562562643">
      <w:bodyDiv w:val="1"/>
      <w:marLeft w:val="0"/>
      <w:marRight w:val="0"/>
      <w:marTop w:val="0"/>
      <w:marBottom w:val="0"/>
      <w:divBdr>
        <w:top w:val="none" w:sz="0" w:space="0" w:color="auto"/>
        <w:left w:val="none" w:sz="0" w:space="0" w:color="auto"/>
        <w:bottom w:val="none" w:sz="0" w:space="0" w:color="auto"/>
        <w:right w:val="none" w:sz="0" w:space="0" w:color="auto"/>
      </w:divBdr>
    </w:div>
    <w:div w:id="601424651">
      <w:bodyDiv w:val="1"/>
      <w:marLeft w:val="0"/>
      <w:marRight w:val="0"/>
      <w:marTop w:val="0"/>
      <w:marBottom w:val="0"/>
      <w:divBdr>
        <w:top w:val="none" w:sz="0" w:space="0" w:color="auto"/>
        <w:left w:val="none" w:sz="0" w:space="0" w:color="auto"/>
        <w:bottom w:val="none" w:sz="0" w:space="0" w:color="auto"/>
        <w:right w:val="none" w:sz="0" w:space="0" w:color="auto"/>
      </w:divBdr>
    </w:div>
    <w:div w:id="665941382">
      <w:bodyDiv w:val="1"/>
      <w:marLeft w:val="0"/>
      <w:marRight w:val="0"/>
      <w:marTop w:val="0"/>
      <w:marBottom w:val="0"/>
      <w:divBdr>
        <w:top w:val="none" w:sz="0" w:space="0" w:color="auto"/>
        <w:left w:val="none" w:sz="0" w:space="0" w:color="auto"/>
        <w:bottom w:val="none" w:sz="0" w:space="0" w:color="auto"/>
        <w:right w:val="none" w:sz="0" w:space="0" w:color="auto"/>
      </w:divBdr>
    </w:div>
    <w:div w:id="771587057">
      <w:bodyDiv w:val="1"/>
      <w:marLeft w:val="0"/>
      <w:marRight w:val="0"/>
      <w:marTop w:val="0"/>
      <w:marBottom w:val="0"/>
      <w:divBdr>
        <w:top w:val="none" w:sz="0" w:space="0" w:color="auto"/>
        <w:left w:val="none" w:sz="0" w:space="0" w:color="auto"/>
        <w:bottom w:val="none" w:sz="0" w:space="0" w:color="auto"/>
        <w:right w:val="none" w:sz="0" w:space="0" w:color="auto"/>
      </w:divBdr>
      <w:divsChild>
        <w:div w:id="1590193973">
          <w:marLeft w:val="0"/>
          <w:marRight w:val="0"/>
          <w:marTop w:val="0"/>
          <w:marBottom w:val="0"/>
          <w:divBdr>
            <w:top w:val="none" w:sz="0" w:space="0" w:color="auto"/>
            <w:left w:val="none" w:sz="0" w:space="0" w:color="auto"/>
            <w:bottom w:val="none" w:sz="0" w:space="0" w:color="auto"/>
            <w:right w:val="none" w:sz="0" w:space="0" w:color="auto"/>
          </w:divBdr>
          <w:divsChild>
            <w:div w:id="599073404">
              <w:marLeft w:val="0"/>
              <w:marRight w:val="0"/>
              <w:marTop w:val="0"/>
              <w:marBottom w:val="0"/>
              <w:divBdr>
                <w:top w:val="none" w:sz="0" w:space="0" w:color="auto"/>
                <w:left w:val="none" w:sz="0" w:space="0" w:color="auto"/>
                <w:bottom w:val="none" w:sz="0" w:space="0" w:color="auto"/>
                <w:right w:val="none" w:sz="0" w:space="0" w:color="auto"/>
              </w:divBdr>
            </w:div>
            <w:div w:id="1902787150">
              <w:marLeft w:val="0"/>
              <w:marRight w:val="0"/>
              <w:marTop w:val="0"/>
              <w:marBottom w:val="0"/>
              <w:divBdr>
                <w:top w:val="none" w:sz="0" w:space="0" w:color="auto"/>
                <w:left w:val="none" w:sz="0" w:space="0" w:color="auto"/>
                <w:bottom w:val="none" w:sz="0" w:space="0" w:color="auto"/>
                <w:right w:val="none" w:sz="0" w:space="0" w:color="auto"/>
              </w:divBdr>
            </w:div>
            <w:div w:id="1585455934">
              <w:marLeft w:val="0"/>
              <w:marRight w:val="0"/>
              <w:marTop w:val="0"/>
              <w:marBottom w:val="0"/>
              <w:divBdr>
                <w:top w:val="none" w:sz="0" w:space="0" w:color="auto"/>
                <w:left w:val="none" w:sz="0" w:space="0" w:color="auto"/>
                <w:bottom w:val="none" w:sz="0" w:space="0" w:color="auto"/>
                <w:right w:val="none" w:sz="0" w:space="0" w:color="auto"/>
              </w:divBdr>
            </w:div>
            <w:div w:id="401221561">
              <w:marLeft w:val="0"/>
              <w:marRight w:val="0"/>
              <w:marTop w:val="0"/>
              <w:marBottom w:val="0"/>
              <w:divBdr>
                <w:top w:val="none" w:sz="0" w:space="0" w:color="auto"/>
                <w:left w:val="none" w:sz="0" w:space="0" w:color="auto"/>
                <w:bottom w:val="none" w:sz="0" w:space="0" w:color="auto"/>
                <w:right w:val="none" w:sz="0" w:space="0" w:color="auto"/>
              </w:divBdr>
            </w:div>
            <w:div w:id="1816875123">
              <w:marLeft w:val="0"/>
              <w:marRight w:val="0"/>
              <w:marTop w:val="0"/>
              <w:marBottom w:val="0"/>
              <w:divBdr>
                <w:top w:val="none" w:sz="0" w:space="0" w:color="auto"/>
                <w:left w:val="none" w:sz="0" w:space="0" w:color="auto"/>
                <w:bottom w:val="none" w:sz="0" w:space="0" w:color="auto"/>
                <w:right w:val="none" w:sz="0" w:space="0" w:color="auto"/>
              </w:divBdr>
            </w:div>
            <w:div w:id="2120102838">
              <w:marLeft w:val="0"/>
              <w:marRight w:val="0"/>
              <w:marTop w:val="0"/>
              <w:marBottom w:val="0"/>
              <w:divBdr>
                <w:top w:val="none" w:sz="0" w:space="0" w:color="auto"/>
                <w:left w:val="none" w:sz="0" w:space="0" w:color="auto"/>
                <w:bottom w:val="none" w:sz="0" w:space="0" w:color="auto"/>
                <w:right w:val="none" w:sz="0" w:space="0" w:color="auto"/>
              </w:divBdr>
            </w:div>
            <w:div w:id="1453283412">
              <w:marLeft w:val="0"/>
              <w:marRight w:val="0"/>
              <w:marTop w:val="0"/>
              <w:marBottom w:val="0"/>
              <w:divBdr>
                <w:top w:val="none" w:sz="0" w:space="0" w:color="auto"/>
                <w:left w:val="none" w:sz="0" w:space="0" w:color="auto"/>
                <w:bottom w:val="none" w:sz="0" w:space="0" w:color="auto"/>
                <w:right w:val="none" w:sz="0" w:space="0" w:color="auto"/>
              </w:divBdr>
            </w:div>
            <w:div w:id="941574341">
              <w:marLeft w:val="0"/>
              <w:marRight w:val="0"/>
              <w:marTop w:val="0"/>
              <w:marBottom w:val="0"/>
              <w:divBdr>
                <w:top w:val="none" w:sz="0" w:space="0" w:color="auto"/>
                <w:left w:val="none" w:sz="0" w:space="0" w:color="auto"/>
                <w:bottom w:val="none" w:sz="0" w:space="0" w:color="auto"/>
                <w:right w:val="none" w:sz="0" w:space="0" w:color="auto"/>
              </w:divBdr>
            </w:div>
            <w:div w:id="1111513463">
              <w:marLeft w:val="0"/>
              <w:marRight w:val="0"/>
              <w:marTop w:val="0"/>
              <w:marBottom w:val="0"/>
              <w:divBdr>
                <w:top w:val="none" w:sz="0" w:space="0" w:color="auto"/>
                <w:left w:val="none" w:sz="0" w:space="0" w:color="auto"/>
                <w:bottom w:val="none" w:sz="0" w:space="0" w:color="auto"/>
                <w:right w:val="none" w:sz="0" w:space="0" w:color="auto"/>
              </w:divBdr>
            </w:div>
            <w:div w:id="1051806681">
              <w:marLeft w:val="0"/>
              <w:marRight w:val="0"/>
              <w:marTop w:val="0"/>
              <w:marBottom w:val="0"/>
              <w:divBdr>
                <w:top w:val="none" w:sz="0" w:space="0" w:color="auto"/>
                <w:left w:val="none" w:sz="0" w:space="0" w:color="auto"/>
                <w:bottom w:val="none" w:sz="0" w:space="0" w:color="auto"/>
                <w:right w:val="none" w:sz="0" w:space="0" w:color="auto"/>
              </w:divBdr>
            </w:div>
            <w:div w:id="1816995197">
              <w:marLeft w:val="0"/>
              <w:marRight w:val="0"/>
              <w:marTop w:val="0"/>
              <w:marBottom w:val="0"/>
              <w:divBdr>
                <w:top w:val="none" w:sz="0" w:space="0" w:color="auto"/>
                <w:left w:val="none" w:sz="0" w:space="0" w:color="auto"/>
                <w:bottom w:val="none" w:sz="0" w:space="0" w:color="auto"/>
                <w:right w:val="none" w:sz="0" w:space="0" w:color="auto"/>
              </w:divBdr>
            </w:div>
            <w:div w:id="1272013202">
              <w:marLeft w:val="0"/>
              <w:marRight w:val="0"/>
              <w:marTop w:val="0"/>
              <w:marBottom w:val="0"/>
              <w:divBdr>
                <w:top w:val="none" w:sz="0" w:space="0" w:color="auto"/>
                <w:left w:val="none" w:sz="0" w:space="0" w:color="auto"/>
                <w:bottom w:val="none" w:sz="0" w:space="0" w:color="auto"/>
                <w:right w:val="none" w:sz="0" w:space="0" w:color="auto"/>
              </w:divBdr>
            </w:div>
            <w:div w:id="1419060936">
              <w:marLeft w:val="0"/>
              <w:marRight w:val="0"/>
              <w:marTop w:val="0"/>
              <w:marBottom w:val="0"/>
              <w:divBdr>
                <w:top w:val="none" w:sz="0" w:space="0" w:color="auto"/>
                <w:left w:val="none" w:sz="0" w:space="0" w:color="auto"/>
                <w:bottom w:val="none" w:sz="0" w:space="0" w:color="auto"/>
                <w:right w:val="none" w:sz="0" w:space="0" w:color="auto"/>
              </w:divBdr>
            </w:div>
            <w:div w:id="1308558163">
              <w:marLeft w:val="0"/>
              <w:marRight w:val="0"/>
              <w:marTop w:val="0"/>
              <w:marBottom w:val="0"/>
              <w:divBdr>
                <w:top w:val="none" w:sz="0" w:space="0" w:color="auto"/>
                <w:left w:val="none" w:sz="0" w:space="0" w:color="auto"/>
                <w:bottom w:val="none" w:sz="0" w:space="0" w:color="auto"/>
                <w:right w:val="none" w:sz="0" w:space="0" w:color="auto"/>
              </w:divBdr>
            </w:div>
            <w:div w:id="533347327">
              <w:marLeft w:val="0"/>
              <w:marRight w:val="0"/>
              <w:marTop w:val="0"/>
              <w:marBottom w:val="0"/>
              <w:divBdr>
                <w:top w:val="none" w:sz="0" w:space="0" w:color="auto"/>
                <w:left w:val="none" w:sz="0" w:space="0" w:color="auto"/>
                <w:bottom w:val="none" w:sz="0" w:space="0" w:color="auto"/>
                <w:right w:val="none" w:sz="0" w:space="0" w:color="auto"/>
              </w:divBdr>
            </w:div>
            <w:div w:id="1357385118">
              <w:marLeft w:val="0"/>
              <w:marRight w:val="0"/>
              <w:marTop w:val="0"/>
              <w:marBottom w:val="0"/>
              <w:divBdr>
                <w:top w:val="none" w:sz="0" w:space="0" w:color="auto"/>
                <w:left w:val="none" w:sz="0" w:space="0" w:color="auto"/>
                <w:bottom w:val="none" w:sz="0" w:space="0" w:color="auto"/>
                <w:right w:val="none" w:sz="0" w:space="0" w:color="auto"/>
              </w:divBdr>
            </w:div>
            <w:div w:id="1877503044">
              <w:marLeft w:val="0"/>
              <w:marRight w:val="0"/>
              <w:marTop w:val="0"/>
              <w:marBottom w:val="0"/>
              <w:divBdr>
                <w:top w:val="none" w:sz="0" w:space="0" w:color="auto"/>
                <w:left w:val="none" w:sz="0" w:space="0" w:color="auto"/>
                <w:bottom w:val="none" w:sz="0" w:space="0" w:color="auto"/>
                <w:right w:val="none" w:sz="0" w:space="0" w:color="auto"/>
              </w:divBdr>
            </w:div>
            <w:div w:id="661852957">
              <w:marLeft w:val="0"/>
              <w:marRight w:val="0"/>
              <w:marTop w:val="0"/>
              <w:marBottom w:val="0"/>
              <w:divBdr>
                <w:top w:val="none" w:sz="0" w:space="0" w:color="auto"/>
                <w:left w:val="none" w:sz="0" w:space="0" w:color="auto"/>
                <w:bottom w:val="none" w:sz="0" w:space="0" w:color="auto"/>
                <w:right w:val="none" w:sz="0" w:space="0" w:color="auto"/>
              </w:divBdr>
            </w:div>
          </w:divsChild>
        </w:div>
        <w:div w:id="1992637195">
          <w:marLeft w:val="0"/>
          <w:marRight w:val="0"/>
          <w:marTop w:val="0"/>
          <w:marBottom w:val="0"/>
          <w:divBdr>
            <w:top w:val="none" w:sz="0" w:space="0" w:color="auto"/>
            <w:left w:val="none" w:sz="0" w:space="0" w:color="auto"/>
            <w:bottom w:val="none" w:sz="0" w:space="0" w:color="auto"/>
            <w:right w:val="none" w:sz="0" w:space="0" w:color="auto"/>
          </w:divBdr>
        </w:div>
        <w:div w:id="622925883">
          <w:marLeft w:val="0"/>
          <w:marRight w:val="0"/>
          <w:marTop w:val="0"/>
          <w:marBottom w:val="0"/>
          <w:divBdr>
            <w:top w:val="none" w:sz="0" w:space="0" w:color="auto"/>
            <w:left w:val="none" w:sz="0" w:space="0" w:color="auto"/>
            <w:bottom w:val="none" w:sz="0" w:space="0" w:color="auto"/>
            <w:right w:val="none" w:sz="0" w:space="0" w:color="auto"/>
          </w:divBdr>
        </w:div>
      </w:divsChild>
    </w:div>
    <w:div w:id="806506518">
      <w:bodyDiv w:val="1"/>
      <w:marLeft w:val="0"/>
      <w:marRight w:val="0"/>
      <w:marTop w:val="0"/>
      <w:marBottom w:val="0"/>
      <w:divBdr>
        <w:top w:val="none" w:sz="0" w:space="0" w:color="auto"/>
        <w:left w:val="none" w:sz="0" w:space="0" w:color="auto"/>
        <w:bottom w:val="none" w:sz="0" w:space="0" w:color="auto"/>
        <w:right w:val="none" w:sz="0" w:space="0" w:color="auto"/>
      </w:divBdr>
      <w:divsChild>
        <w:div w:id="365983774">
          <w:marLeft w:val="0"/>
          <w:marRight w:val="0"/>
          <w:marTop w:val="0"/>
          <w:marBottom w:val="0"/>
          <w:divBdr>
            <w:top w:val="none" w:sz="0" w:space="0" w:color="auto"/>
            <w:left w:val="none" w:sz="0" w:space="0" w:color="auto"/>
            <w:bottom w:val="none" w:sz="0" w:space="0" w:color="auto"/>
            <w:right w:val="none" w:sz="0" w:space="0" w:color="auto"/>
          </w:divBdr>
        </w:div>
        <w:div w:id="1152211296">
          <w:marLeft w:val="0"/>
          <w:marRight w:val="0"/>
          <w:marTop w:val="0"/>
          <w:marBottom w:val="0"/>
          <w:divBdr>
            <w:top w:val="none" w:sz="0" w:space="0" w:color="auto"/>
            <w:left w:val="none" w:sz="0" w:space="0" w:color="auto"/>
            <w:bottom w:val="none" w:sz="0" w:space="0" w:color="auto"/>
            <w:right w:val="none" w:sz="0" w:space="0" w:color="auto"/>
          </w:divBdr>
        </w:div>
        <w:div w:id="899442409">
          <w:marLeft w:val="0"/>
          <w:marRight w:val="0"/>
          <w:marTop w:val="0"/>
          <w:marBottom w:val="0"/>
          <w:divBdr>
            <w:top w:val="none" w:sz="0" w:space="0" w:color="auto"/>
            <w:left w:val="none" w:sz="0" w:space="0" w:color="auto"/>
            <w:bottom w:val="none" w:sz="0" w:space="0" w:color="auto"/>
            <w:right w:val="none" w:sz="0" w:space="0" w:color="auto"/>
          </w:divBdr>
        </w:div>
        <w:div w:id="107938901">
          <w:marLeft w:val="0"/>
          <w:marRight w:val="0"/>
          <w:marTop w:val="0"/>
          <w:marBottom w:val="0"/>
          <w:divBdr>
            <w:top w:val="none" w:sz="0" w:space="0" w:color="auto"/>
            <w:left w:val="none" w:sz="0" w:space="0" w:color="auto"/>
            <w:bottom w:val="none" w:sz="0" w:space="0" w:color="auto"/>
            <w:right w:val="none" w:sz="0" w:space="0" w:color="auto"/>
          </w:divBdr>
        </w:div>
      </w:divsChild>
    </w:div>
    <w:div w:id="846868004">
      <w:bodyDiv w:val="1"/>
      <w:marLeft w:val="0"/>
      <w:marRight w:val="0"/>
      <w:marTop w:val="0"/>
      <w:marBottom w:val="0"/>
      <w:divBdr>
        <w:top w:val="none" w:sz="0" w:space="0" w:color="auto"/>
        <w:left w:val="none" w:sz="0" w:space="0" w:color="auto"/>
        <w:bottom w:val="none" w:sz="0" w:space="0" w:color="auto"/>
        <w:right w:val="none" w:sz="0" w:space="0" w:color="auto"/>
      </w:divBdr>
    </w:div>
    <w:div w:id="914510384">
      <w:bodyDiv w:val="1"/>
      <w:marLeft w:val="0"/>
      <w:marRight w:val="0"/>
      <w:marTop w:val="0"/>
      <w:marBottom w:val="0"/>
      <w:divBdr>
        <w:top w:val="none" w:sz="0" w:space="0" w:color="auto"/>
        <w:left w:val="none" w:sz="0" w:space="0" w:color="auto"/>
        <w:bottom w:val="none" w:sz="0" w:space="0" w:color="auto"/>
        <w:right w:val="none" w:sz="0" w:space="0" w:color="auto"/>
      </w:divBdr>
    </w:div>
    <w:div w:id="917448299">
      <w:bodyDiv w:val="1"/>
      <w:marLeft w:val="0"/>
      <w:marRight w:val="0"/>
      <w:marTop w:val="0"/>
      <w:marBottom w:val="0"/>
      <w:divBdr>
        <w:top w:val="none" w:sz="0" w:space="0" w:color="auto"/>
        <w:left w:val="none" w:sz="0" w:space="0" w:color="auto"/>
        <w:bottom w:val="none" w:sz="0" w:space="0" w:color="auto"/>
        <w:right w:val="none" w:sz="0" w:space="0" w:color="auto"/>
      </w:divBdr>
      <w:divsChild>
        <w:div w:id="1226527887">
          <w:marLeft w:val="0"/>
          <w:marRight w:val="0"/>
          <w:marTop w:val="0"/>
          <w:marBottom w:val="0"/>
          <w:divBdr>
            <w:top w:val="none" w:sz="0" w:space="0" w:color="auto"/>
            <w:left w:val="none" w:sz="0" w:space="0" w:color="auto"/>
            <w:bottom w:val="none" w:sz="0" w:space="0" w:color="auto"/>
            <w:right w:val="none" w:sz="0" w:space="0" w:color="auto"/>
          </w:divBdr>
        </w:div>
      </w:divsChild>
    </w:div>
    <w:div w:id="986670988">
      <w:bodyDiv w:val="1"/>
      <w:marLeft w:val="0"/>
      <w:marRight w:val="0"/>
      <w:marTop w:val="0"/>
      <w:marBottom w:val="0"/>
      <w:divBdr>
        <w:top w:val="none" w:sz="0" w:space="0" w:color="auto"/>
        <w:left w:val="none" w:sz="0" w:space="0" w:color="auto"/>
        <w:bottom w:val="none" w:sz="0" w:space="0" w:color="auto"/>
        <w:right w:val="none" w:sz="0" w:space="0" w:color="auto"/>
      </w:divBdr>
    </w:div>
    <w:div w:id="1039664895">
      <w:bodyDiv w:val="1"/>
      <w:marLeft w:val="0"/>
      <w:marRight w:val="0"/>
      <w:marTop w:val="0"/>
      <w:marBottom w:val="0"/>
      <w:divBdr>
        <w:top w:val="none" w:sz="0" w:space="0" w:color="auto"/>
        <w:left w:val="none" w:sz="0" w:space="0" w:color="auto"/>
        <w:bottom w:val="none" w:sz="0" w:space="0" w:color="auto"/>
        <w:right w:val="none" w:sz="0" w:space="0" w:color="auto"/>
      </w:divBdr>
    </w:div>
    <w:div w:id="1102264815">
      <w:bodyDiv w:val="1"/>
      <w:marLeft w:val="0"/>
      <w:marRight w:val="0"/>
      <w:marTop w:val="0"/>
      <w:marBottom w:val="0"/>
      <w:divBdr>
        <w:top w:val="none" w:sz="0" w:space="0" w:color="auto"/>
        <w:left w:val="none" w:sz="0" w:space="0" w:color="auto"/>
        <w:bottom w:val="none" w:sz="0" w:space="0" w:color="auto"/>
        <w:right w:val="none" w:sz="0" w:space="0" w:color="auto"/>
      </w:divBdr>
    </w:div>
    <w:div w:id="1118718910">
      <w:bodyDiv w:val="1"/>
      <w:marLeft w:val="0"/>
      <w:marRight w:val="0"/>
      <w:marTop w:val="0"/>
      <w:marBottom w:val="0"/>
      <w:divBdr>
        <w:top w:val="none" w:sz="0" w:space="0" w:color="auto"/>
        <w:left w:val="none" w:sz="0" w:space="0" w:color="auto"/>
        <w:bottom w:val="none" w:sz="0" w:space="0" w:color="auto"/>
        <w:right w:val="none" w:sz="0" w:space="0" w:color="auto"/>
      </w:divBdr>
    </w:div>
    <w:div w:id="1137378389">
      <w:bodyDiv w:val="1"/>
      <w:marLeft w:val="0"/>
      <w:marRight w:val="0"/>
      <w:marTop w:val="0"/>
      <w:marBottom w:val="0"/>
      <w:divBdr>
        <w:top w:val="none" w:sz="0" w:space="0" w:color="auto"/>
        <w:left w:val="none" w:sz="0" w:space="0" w:color="auto"/>
        <w:bottom w:val="none" w:sz="0" w:space="0" w:color="auto"/>
        <w:right w:val="none" w:sz="0" w:space="0" w:color="auto"/>
      </w:divBdr>
      <w:divsChild>
        <w:div w:id="443815233">
          <w:marLeft w:val="0"/>
          <w:marRight w:val="0"/>
          <w:marTop w:val="0"/>
          <w:marBottom w:val="0"/>
          <w:divBdr>
            <w:top w:val="none" w:sz="0" w:space="0" w:color="auto"/>
            <w:left w:val="none" w:sz="0" w:space="0" w:color="auto"/>
            <w:bottom w:val="none" w:sz="0" w:space="0" w:color="auto"/>
            <w:right w:val="none" w:sz="0" w:space="0" w:color="auto"/>
          </w:divBdr>
        </w:div>
      </w:divsChild>
    </w:div>
    <w:div w:id="1200512604">
      <w:bodyDiv w:val="1"/>
      <w:marLeft w:val="0"/>
      <w:marRight w:val="0"/>
      <w:marTop w:val="0"/>
      <w:marBottom w:val="0"/>
      <w:divBdr>
        <w:top w:val="none" w:sz="0" w:space="0" w:color="auto"/>
        <w:left w:val="none" w:sz="0" w:space="0" w:color="auto"/>
        <w:bottom w:val="none" w:sz="0" w:space="0" w:color="auto"/>
        <w:right w:val="none" w:sz="0" w:space="0" w:color="auto"/>
      </w:divBdr>
    </w:div>
    <w:div w:id="1200817694">
      <w:bodyDiv w:val="1"/>
      <w:marLeft w:val="0"/>
      <w:marRight w:val="0"/>
      <w:marTop w:val="0"/>
      <w:marBottom w:val="0"/>
      <w:divBdr>
        <w:top w:val="none" w:sz="0" w:space="0" w:color="auto"/>
        <w:left w:val="none" w:sz="0" w:space="0" w:color="auto"/>
        <w:bottom w:val="none" w:sz="0" w:space="0" w:color="auto"/>
        <w:right w:val="none" w:sz="0" w:space="0" w:color="auto"/>
      </w:divBdr>
    </w:div>
    <w:div w:id="1246843399">
      <w:bodyDiv w:val="1"/>
      <w:marLeft w:val="0"/>
      <w:marRight w:val="0"/>
      <w:marTop w:val="0"/>
      <w:marBottom w:val="0"/>
      <w:divBdr>
        <w:top w:val="none" w:sz="0" w:space="0" w:color="auto"/>
        <w:left w:val="none" w:sz="0" w:space="0" w:color="auto"/>
        <w:bottom w:val="none" w:sz="0" w:space="0" w:color="auto"/>
        <w:right w:val="none" w:sz="0" w:space="0" w:color="auto"/>
      </w:divBdr>
    </w:div>
    <w:div w:id="1297299526">
      <w:bodyDiv w:val="1"/>
      <w:marLeft w:val="0"/>
      <w:marRight w:val="0"/>
      <w:marTop w:val="0"/>
      <w:marBottom w:val="0"/>
      <w:divBdr>
        <w:top w:val="none" w:sz="0" w:space="0" w:color="auto"/>
        <w:left w:val="none" w:sz="0" w:space="0" w:color="auto"/>
        <w:bottom w:val="none" w:sz="0" w:space="0" w:color="auto"/>
        <w:right w:val="none" w:sz="0" w:space="0" w:color="auto"/>
      </w:divBdr>
    </w:div>
    <w:div w:id="1361590496">
      <w:bodyDiv w:val="1"/>
      <w:marLeft w:val="0"/>
      <w:marRight w:val="0"/>
      <w:marTop w:val="0"/>
      <w:marBottom w:val="0"/>
      <w:divBdr>
        <w:top w:val="none" w:sz="0" w:space="0" w:color="auto"/>
        <w:left w:val="none" w:sz="0" w:space="0" w:color="auto"/>
        <w:bottom w:val="none" w:sz="0" w:space="0" w:color="auto"/>
        <w:right w:val="none" w:sz="0" w:space="0" w:color="auto"/>
      </w:divBdr>
    </w:div>
    <w:div w:id="1423138446">
      <w:bodyDiv w:val="1"/>
      <w:marLeft w:val="0"/>
      <w:marRight w:val="0"/>
      <w:marTop w:val="0"/>
      <w:marBottom w:val="0"/>
      <w:divBdr>
        <w:top w:val="none" w:sz="0" w:space="0" w:color="auto"/>
        <w:left w:val="none" w:sz="0" w:space="0" w:color="auto"/>
        <w:bottom w:val="none" w:sz="0" w:space="0" w:color="auto"/>
        <w:right w:val="none" w:sz="0" w:space="0" w:color="auto"/>
      </w:divBdr>
    </w:div>
    <w:div w:id="1464542141">
      <w:bodyDiv w:val="1"/>
      <w:marLeft w:val="0"/>
      <w:marRight w:val="0"/>
      <w:marTop w:val="0"/>
      <w:marBottom w:val="0"/>
      <w:divBdr>
        <w:top w:val="none" w:sz="0" w:space="0" w:color="auto"/>
        <w:left w:val="none" w:sz="0" w:space="0" w:color="auto"/>
        <w:bottom w:val="none" w:sz="0" w:space="0" w:color="auto"/>
        <w:right w:val="none" w:sz="0" w:space="0" w:color="auto"/>
      </w:divBdr>
    </w:div>
    <w:div w:id="1487894961">
      <w:bodyDiv w:val="1"/>
      <w:marLeft w:val="0"/>
      <w:marRight w:val="0"/>
      <w:marTop w:val="0"/>
      <w:marBottom w:val="0"/>
      <w:divBdr>
        <w:top w:val="none" w:sz="0" w:space="0" w:color="auto"/>
        <w:left w:val="none" w:sz="0" w:space="0" w:color="auto"/>
        <w:bottom w:val="none" w:sz="0" w:space="0" w:color="auto"/>
        <w:right w:val="none" w:sz="0" w:space="0" w:color="auto"/>
      </w:divBdr>
    </w:div>
    <w:div w:id="1532261160">
      <w:bodyDiv w:val="1"/>
      <w:marLeft w:val="0"/>
      <w:marRight w:val="0"/>
      <w:marTop w:val="0"/>
      <w:marBottom w:val="0"/>
      <w:divBdr>
        <w:top w:val="none" w:sz="0" w:space="0" w:color="auto"/>
        <w:left w:val="none" w:sz="0" w:space="0" w:color="auto"/>
        <w:bottom w:val="none" w:sz="0" w:space="0" w:color="auto"/>
        <w:right w:val="none" w:sz="0" w:space="0" w:color="auto"/>
      </w:divBdr>
    </w:div>
    <w:div w:id="1547332442">
      <w:bodyDiv w:val="1"/>
      <w:marLeft w:val="0"/>
      <w:marRight w:val="0"/>
      <w:marTop w:val="0"/>
      <w:marBottom w:val="0"/>
      <w:divBdr>
        <w:top w:val="none" w:sz="0" w:space="0" w:color="auto"/>
        <w:left w:val="none" w:sz="0" w:space="0" w:color="auto"/>
        <w:bottom w:val="none" w:sz="0" w:space="0" w:color="auto"/>
        <w:right w:val="none" w:sz="0" w:space="0" w:color="auto"/>
      </w:divBdr>
    </w:div>
    <w:div w:id="1653020420">
      <w:bodyDiv w:val="1"/>
      <w:marLeft w:val="0"/>
      <w:marRight w:val="0"/>
      <w:marTop w:val="0"/>
      <w:marBottom w:val="0"/>
      <w:divBdr>
        <w:top w:val="none" w:sz="0" w:space="0" w:color="auto"/>
        <w:left w:val="none" w:sz="0" w:space="0" w:color="auto"/>
        <w:bottom w:val="none" w:sz="0" w:space="0" w:color="auto"/>
        <w:right w:val="none" w:sz="0" w:space="0" w:color="auto"/>
      </w:divBdr>
    </w:div>
    <w:div w:id="1669597320">
      <w:bodyDiv w:val="1"/>
      <w:marLeft w:val="0"/>
      <w:marRight w:val="0"/>
      <w:marTop w:val="0"/>
      <w:marBottom w:val="0"/>
      <w:divBdr>
        <w:top w:val="none" w:sz="0" w:space="0" w:color="auto"/>
        <w:left w:val="none" w:sz="0" w:space="0" w:color="auto"/>
        <w:bottom w:val="none" w:sz="0" w:space="0" w:color="auto"/>
        <w:right w:val="none" w:sz="0" w:space="0" w:color="auto"/>
      </w:divBdr>
    </w:div>
    <w:div w:id="1732388202">
      <w:bodyDiv w:val="1"/>
      <w:marLeft w:val="0"/>
      <w:marRight w:val="0"/>
      <w:marTop w:val="0"/>
      <w:marBottom w:val="0"/>
      <w:divBdr>
        <w:top w:val="none" w:sz="0" w:space="0" w:color="auto"/>
        <w:left w:val="none" w:sz="0" w:space="0" w:color="auto"/>
        <w:bottom w:val="none" w:sz="0" w:space="0" w:color="auto"/>
        <w:right w:val="none" w:sz="0" w:space="0" w:color="auto"/>
      </w:divBdr>
    </w:div>
    <w:div w:id="1824008455">
      <w:bodyDiv w:val="1"/>
      <w:marLeft w:val="0"/>
      <w:marRight w:val="0"/>
      <w:marTop w:val="0"/>
      <w:marBottom w:val="0"/>
      <w:divBdr>
        <w:top w:val="none" w:sz="0" w:space="0" w:color="auto"/>
        <w:left w:val="none" w:sz="0" w:space="0" w:color="auto"/>
        <w:bottom w:val="none" w:sz="0" w:space="0" w:color="auto"/>
        <w:right w:val="none" w:sz="0" w:space="0" w:color="auto"/>
      </w:divBdr>
    </w:div>
    <w:div w:id="1830321229">
      <w:bodyDiv w:val="1"/>
      <w:marLeft w:val="0"/>
      <w:marRight w:val="0"/>
      <w:marTop w:val="0"/>
      <w:marBottom w:val="0"/>
      <w:divBdr>
        <w:top w:val="none" w:sz="0" w:space="0" w:color="auto"/>
        <w:left w:val="none" w:sz="0" w:space="0" w:color="auto"/>
        <w:bottom w:val="none" w:sz="0" w:space="0" w:color="auto"/>
        <w:right w:val="none" w:sz="0" w:space="0" w:color="auto"/>
      </w:divBdr>
    </w:div>
    <w:div w:id="1836721984">
      <w:bodyDiv w:val="1"/>
      <w:marLeft w:val="0"/>
      <w:marRight w:val="0"/>
      <w:marTop w:val="0"/>
      <w:marBottom w:val="0"/>
      <w:divBdr>
        <w:top w:val="none" w:sz="0" w:space="0" w:color="auto"/>
        <w:left w:val="none" w:sz="0" w:space="0" w:color="auto"/>
        <w:bottom w:val="none" w:sz="0" w:space="0" w:color="auto"/>
        <w:right w:val="none" w:sz="0" w:space="0" w:color="auto"/>
      </w:divBdr>
    </w:div>
    <w:div w:id="1886063920">
      <w:bodyDiv w:val="1"/>
      <w:marLeft w:val="0"/>
      <w:marRight w:val="0"/>
      <w:marTop w:val="0"/>
      <w:marBottom w:val="0"/>
      <w:divBdr>
        <w:top w:val="none" w:sz="0" w:space="0" w:color="auto"/>
        <w:left w:val="none" w:sz="0" w:space="0" w:color="auto"/>
        <w:bottom w:val="none" w:sz="0" w:space="0" w:color="auto"/>
        <w:right w:val="none" w:sz="0" w:space="0" w:color="auto"/>
      </w:divBdr>
      <w:divsChild>
        <w:div w:id="179130819">
          <w:marLeft w:val="0"/>
          <w:marRight w:val="0"/>
          <w:marTop w:val="0"/>
          <w:marBottom w:val="0"/>
          <w:divBdr>
            <w:top w:val="none" w:sz="0" w:space="0" w:color="auto"/>
            <w:left w:val="none" w:sz="0" w:space="0" w:color="auto"/>
            <w:bottom w:val="none" w:sz="0" w:space="0" w:color="auto"/>
            <w:right w:val="none" w:sz="0" w:space="0" w:color="auto"/>
          </w:divBdr>
        </w:div>
        <w:div w:id="1234659770">
          <w:marLeft w:val="0"/>
          <w:marRight w:val="0"/>
          <w:marTop w:val="0"/>
          <w:marBottom w:val="0"/>
          <w:divBdr>
            <w:top w:val="none" w:sz="0" w:space="0" w:color="auto"/>
            <w:left w:val="none" w:sz="0" w:space="0" w:color="auto"/>
            <w:bottom w:val="none" w:sz="0" w:space="0" w:color="auto"/>
            <w:right w:val="none" w:sz="0" w:space="0" w:color="auto"/>
          </w:divBdr>
        </w:div>
        <w:div w:id="1003318151">
          <w:marLeft w:val="0"/>
          <w:marRight w:val="0"/>
          <w:marTop w:val="0"/>
          <w:marBottom w:val="0"/>
          <w:divBdr>
            <w:top w:val="none" w:sz="0" w:space="0" w:color="auto"/>
            <w:left w:val="none" w:sz="0" w:space="0" w:color="auto"/>
            <w:bottom w:val="none" w:sz="0" w:space="0" w:color="auto"/>
            <w:right w:val="none" w:sz="0" w:space="0" w:color="auto"/>
          </w:divBdr>
        </w:div>
        <w:div w:id="850726385">
          <w:marLeft w:val="0"/>
          <w:marRight w:val="0"/>
          <w:marTop w:val="0"/>
          <w:marBottom w:val="0"/>
          <w:divBdr>
            <w:top w:val="none" w:sz="0" w:space="0" w:color="auto"/>
            <w:left w:val="none" w:sz="0" w:space="0" w:color="auto"/>
            <w:bottom w:val="none" w:sz="0" w:space="0" w:color="auto"/>
            <w:right w:val="none" w:sz="0" w:space="0" w:color="auto"/>
          </w:divBdr>
        </w:div>
        <w:div w:id="1645549625">
          <w:marLeft w:val="0"/>
          <w:marRight w:val="0"/>
          <w:marTop w:val="0"/>
          <w:marBottom w:val="0"/>
          <w:divBdr>
            <w:top w:val="none" w:sz="0" w:space="0" w:color="auto"/>
            <w:left w:val="none" w:sz="0" w:space="0" w:color="auto"/>
            <w:bottom w:val="none" w:sz="0" w:space="0" w:color="auto"/>
            <w:right w:val="none" w:sz="0" w:space="0" w:color="auto"/>
          </w:divBdr>
        </w:div>
        <w:div w:id="1314523778">
          <w:marLeft w:val="0"/>
          <w:marRight w:val="0"/>
          <w:marTop w:val="0"/>
          <w:marBottom w:val="0"/>
          <w:divBdr>
            <w:top w:val="none" w:sz="0" w:space="0" w:color="auto"/>
            <w:left w:val="none" w:sz="0" w:space="0" w:color="auto"/>
            <w:bottom w:val="none" w:sz="0" w:space="0" w:color="auto"/>
            <w:right w:val="none" w:sz="0" w:space="0" w:color="auto"/>
          </w:divBdr>
        </w:div>
        <w:div w:id="795756305">
          <w:marLeft w:val="0"/>
          <w:marRight w:val="0"/>
          <w:marTop w:val="0"/>
          <w:marBottom w:val="0"/>
          <w:divBdr>
            <w:top w:val="none" w:sz="0" w:space="0" w:color="auto"/>
            <w:left w:val="none" w:sz="0" w:space="0" w:color="auto"/>
            <w:bottom w:val="none" w:sz="0" w:space="0" w:color="auto"/>
            <w:right w:val="none" w:sz="0" w:space="0" w:color="auto"/>
          </w:divBdr>
        </w:div>
        <w:div w:id="1633248465">
          <w:marLeft w:val="0"/>
          <w:marRight w:val="0"/>
          <w:marTop w:val="0"/>
          <w:marBottom w:val="0"/>
          <w:divBdr>
            <w:top w:val="none" w:sz="0" w:space="0" w:color="auto"/>
            <w:left w:val="none" w:sz="0" w:space="0" w:color="auto"/>
            <w:bottom w:val="none" w:sz="0" w:space="0" w:color="auto"/>
            <w:right w:val="none" w:sz="0" w:space="0" w:color="auto"/>
          </w:divBdr>
        </w:div>
        <w:div w:id="970789459">
          <w:marLeft w:val="0"/>
          <w:marRight w:val="0"/>
          <w:marTop w:val="0"/>
          <w:marBottom w:val="0"/>
          <w:divBdr>
            <w:top w:val="none" w:sz="0" w:space="0" w:color="auto"/>
            <w:left w:val="none" w:sz="0" w:space="0" w:color="auto"/>
            <w:bottom w:val="none" w:sz="0" w:space="0" w:color="auto"/>
            <w:right w:val="none" w:sz="0" w:space="0" w:color="auto"/>
          </w:divBdr>
        </w:div>
        <w:div w:id="2121026424">
          <w:marLeft w:val="0"/>
          <w:marRight w:val="0"/>
          <w:marTop w:val="0"/>
          <w:marBottom w:val="0"/>
          <w:divBdr>
            <w:top w:val="none" w:sz="0" w:space="0" w:color="auto"/>
            <w:left w:val="none" w:sz="0" w:space="0" w:color="auto"/>
            <w:bottom w:val="none" w:sz="0" w:space="0" w:color="auto"/>
            <w:right w:val="none" w:sz="0" w:space="0" w:color="auto"/>
          </w:divBdr>
        </w:div>
        <w:div w:id="1488206167">
          <w:marLeft w:val="0"/>
          <w:marRight w:val="0"/>
          <w:marTop w:val="0"/>
          <w:marBottom w:val="0"/>
          <w:divBdr>
            <w:top w:val="none" w:sz="0" w:space="0" w:color="auto"/>
            <w:left w:val="none" w:sz="0" w:space="0" w:color="auto"/>
            <w:bottom w:val="none" w:sz="0" w:space="0" w:color="auto"/>
            <w:right w:val="none" w:sz="0" w:space="0" w:color="auto"/>
          </w:divBdr>
        </w:div>
      </w:divsChild>
    </w:div>
    <w:div w:id="1906331680">
      <w:bodyDiv w:val="1"/>
      <w:marLeft w:val="0"/>
      <w:marRight w:val="0"/>
      <w:marTop w:val="0"/>
      <w:marBottom w:val="0"/>
      <w:divBdr>
        <w:top w:val="none" w:sz="0" w:space="0" w:color="auto"/>
        <w:left w:val="none" w:sz="0" w:space="0" w:color="auto"/>
        <w:bottom w:val="none" w:sz="0" w:space="0" w:color="auto"/>
        <w:right w:val="none" w:sz="0" w:space="0" w:color="auto"/>
      </w:divBdr>
    </w:div>
    <w:div w:id="1993483213">
      <w:bodyDiv w:val="1"/>
      <w:marLeft w:val="0"/>
      <w:marRight w:val="0"/>
      <w:marTop w:val="0"/>
      <w:marBottom w:val="0"/>
      <w:divBdr>
        <w:top w:val="none" w:sz="0" w:space="0" w:color="auto"/>
        <w:left w:val="none" w:sz="0" w:space="0" w:color="auto"/>
        <w:bottom w:val="none" w:sz="0" w:space="0" w:color="auto"/>
        <w:right w:val="none" w:sz="0" w:space="0" w:color="auto"/>
      </w:divBdr>
    </w:div>
    <w:div w:id="21246152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5EB6A483BD35443962B0AF7E0907400"/>
        <w:category>
          <w:name w:val="General"/>
          <w:gallery w:val="placeholder"/>
        </w:category>
        <w:types>
          <w:type w:val="bbPlcHdr"/>
        </w:types>
        <w:behaviors>
          <w:behavior w:val="content"/>
        </w:behaviors>
        <w:guid w:val="{0E44667E-BA03-0049-BDA6-B87699B0A046}"/>
      </w:docPartPr>
      <w:docPartBody>
        <w:p w:rsidR="00DF7D03" w:rsidRDefault="00DF7D03" w:rsidP="00DF7D03">
          <w:pPr>
            <w:pStyle w:val="B5EB6A483BD35443962B0AF7E0907400"/>
          </w:pPr>
          <w:r>
            <w:rPr>
              <w:lang w:val="es-ES"/>
            </w:rPr>
            <w:t>[Escriba texto]</w:t>
          </w:r>
        </w:p>
      </w:docPartBody>
    </w:docPart>
    <w:docPart>
      <w:docPartPr>
        <w:name w:val="BC4D4BDDE6D1D740A5EDAD827517875F"/>
        <w:category>
          <w:name w:val="General"/>
          <w:gallery w:val="placeholder"/>
        </w:category>
        <w:types>
          <w:type w:val="bbPlcHdr"/>
        </w:types>
        <w:behaviors>
          <w:behavior w:val="content"/>
        </w:behaviors>
        <w:guid w:val="{CBCB6A35-C280-AF46-888C-E16032FE67A0}"/>
      </w:docPartPr>
      <w:docPartBody>
        <w:p w:rsidR="00DF7D03" w:rsidRDefault="00DF7D03" w:rsidP="00DF7D03">
          <w:pPr>
            <w:pStyle w:val="BC4D4BDDE6D1D740A5EDAD827517875F"/>
          </w:pPr>
          <w:r>
            <w:rPr>
              <w:lang w:val="es-ES"/>
            </w:rPr>
            <w:t>[Escriba texto]</w:t>
          </w:r>
        </w:p>
      </w:docPartBody>
    </w:docPart>
    <w:docPart>
      <w:docPartPr>
        <w:name w:val="718978966E1EAB4F83F378AD347E9A25"/>
        <w:category>
          <w:name w:val="General"/>
          <w:gallery w:val="placeholder"/>
        </w:category>
        <w:types>
          <w:type w:val="bbPlcHdr"/>
        </w:types>
        <w:behaviors>
          <w:behavior w:val="content"/>
        </w:behaviors>
        <w:guid w:val="{E8538C66-19DE-BC48-9B30-AFD462BB8CE9}"/>
      </w:docPartPr>
      <w:docPartBody>
        <w:p w:rsidR="00DF7D03" w:rsidRDefault="00DF7D03" w:rsidP="00DF7D03">
          <w:pPr>
            <w:pStyle w:val="718978966E1EAB4F83F378AD347E9A25"/>
          </w:pPr>
          <w:r>
            <w:rPr>
              <w:lang w:val="es-ES"/>
            </w:rPr>
            <w:t>[Escriba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Yu Mincho">
    <w:altName w:val="游明朝"/>
    <w:panose1 w:val="02020400000000000000"/>
    <w:charset w:val="80"/>
    <w:family w:val="roman"/>
    <w:notTrueType/>
    <w:pitch w:val="variable"/>
    <w:sig w:usb0="800002E7" w:usb1="2AC7FCFF" w:usb2="00000012" w:usb3="00000000" w:csb0="0002009F" w:csb1="00000000"/>
  </w:font>
  <w:font w:name="Yu Gothic Light">
    <w:altName w:val="游ゴシック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F7D03"/>
    <w:rsid w:val="000B4C07"/>
    <w:rsid w:val="00165F9A"/>
    <w:rsid w:val="002C4F73"/>
    <w:rsid w:val="002C6148"/>
    <w:rsid w:val="00313D32"/>
    <w:rsid w:val="00384ECA"/>
    <w:rsid w:val="0046401C"/>
    <w:rsid w:val="0053019F"/>
    <w:rsid w:val="005732A2"/>
    <w:rsid w:val="00583743"/>
    <w:rsid w:val="005E4F34"/>
    <w:rsid w:val="006E24A8"/>
    <w:rsid w:val="006E6C29"/>
    <w:rsid w:val="00755940"/>
    <w:rsid w:val="007711BB"/>
    <w:rsid w:val="00852A01"/>
    <w:rsid w:val="00886981"/>
    <w:rsid w:val="00896B3D"/>
    <w:rsid w:val="00954163"/>
    <w:rsid w:val="00993B05"/>
    <w:rsid w:val="00A170B1"/>
    <w:rsid w:val="00A611B7"/>
    <w:rsid w:val="00AE01F0"/>
    <w:rsid w:val="00B750A1"/>
    <w:rsid w:val="00BF1354"/>
    <w:rsid w:val="00C1789E"/>
    <w:rsid w:val="00C45944"/>
    <w:rsid w:val="00CA00EA"/>
    <w:rsid w:val="00D3248A"/>
    <w:rsid w:val="00DF7D03"/>
    <w:rsid w:val="00EE5394"/>
    <w:rsid w:val="00F2794B"/>
    <w:rsid w:val="00F33766"/>
    <w:rsid w:val="00F86BC7"/>
    <w:rsid w:val="00FC4CA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B5EB6A483BD35443962B0AF7E0907400">
    <w:name w:val="B5EB6A483BD35443962B0AF7E0907400"/>
    <w:rsid w:val="00DF7D03"/>
  </w:style>
  <w:style w:type="paragraph" w:customStyle="1" w:styleId="BC4D4BDDE6D1D740A5EDAD827517875F">
    <w:name w:val="BC4D4BDDE6D1D740A5EDAD827517875F"/>
    <w:rsid w:val="00DF7D03"/>
  </w:style>
  <w:style w:type="paragraph" w:customStyle="1" w:styleId="718978966E1EAB4F83F378AD347E9A25">
    <w:name w:val="718978966E1EAB4F83F378AD347E9A25"/>
    <w:rsid w:val="00DF7D0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A9B624-E84B-42BB-A339-00AA590D5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2290</Words>
  <Characters>12597</Characters>
  <Application>Microsoft Office Word</Application>
  <DocSecurity>0</DocSecurity>
  <Lines>104</Lines>
  <Paragraphs>29</Paragraphs>
  <ScaleCrop>false</ScaleCrop>
  <HeadingPairs>
    <vt:vector size="2" baseType="variant">
      <vt:variant>
        <vt:lpstr>Título</vt:lpstr>
      </vt:variant>
      <vt:variant>
        <vt:i4>1</vt:i4>
      </vt:variant>
    </vt:vector>
  </HeadingPairs>
  <TitlesOfParts>
    <vt:vector size="1" baseType="lpstr">
      <vt:lpstr/>
    </vt:vector>
  </TitlesOfParts>
  <Company>SDP</Company>
  <LinksUpToDate>false</LinksUpToDate>
  <CharactersWithSpaces>14858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Carolina Chavez</dc:creator>
  <cp:lastModifiedBy>gustavo andres uquillas prieto</cp:lastModifiedBy>
  <cp:revision>2</cp:revision>
  <cp:lastPrinted>2020-01-27T21:42:00Z</cp:lastPrinted>
  <dcterms:created xsi:type="dcterms:W3CDTF">2025-02-24T21:10:00Z</dcterms:created>
  <dcterms:modified xsi:type="dcterms:W3CDTF">2025-02-24T21:10:00Z</dcterms:modified>
</cp:coreProperties>
</file>